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00" w:rsidRPr="008F6995" w:rsidRDefault="00291F27" w:rsidP="00E9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94CDF">
        <w:rPr>
          <w:rFonts w:ascii="Times New Roman" w:hAnsi="Times New Roman" w:cs="Times New Roman"/>
          <w:b/>
          <w:sz w:val="28"/>
          <w:szCs w:val="28"/>
        </w:rPr>
        <w:t>Аналити</w:t>
      </w:r>
      <w:proofErr w:type="spellEnd"/>
      <w:r w:rsidR="008F6995">
        <w:rPr>
          <w:rFonts w:ascii="Times New Roman" w:hAnsi="Times New Roman" w:cs="Times New Roman"/>
          <w:b/>
          <w:sz w:val="28"/>
          <w:szCs w:val="28"/>
          <w:lang w:val="kk-KZ"/>
        </w:rPr>
        <w:t>калық</w:t>
      </w:r>
      <w:r w:rsidRPr="00E94C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995"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</w:p>
    <w:p w:rsidR="00211EDA" w:rsidRDefault="00211EDA" w:rsidP="00E9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EDA" w:rsidRPr="00211EDA" w:rsidRDefault="00211EDA" w:rsidP="00211ED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11EDA">
        <w:rPr>
          <w:rFonts w:ascii="Times New Roman" w:hAnsi="Times New Roman" w:cs="Times New Roman"/>
          <w:b/>
          <w:sz w:val="24"/>
          <w:szCs w:val="24"/>
        </w:rPr>
        <w:t>Астана</w:t>
      </w:r>
      <w:r w:rsidR="008F6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қ.</w:t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DB6F3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F6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 жылғы </w:t>
      </w:r>
      <w:r w:rsidR="00DB6F3C">
        <w:rPr>
          <w:rFonts w:ascii="Times New Roman" w:hAnsi="Times New Roman" w:cs="Times New Roman"/>
          <w:b/>
          <w:sz w:val="24"/>
          <w:szCs w:val="24"/>
        </w:rPr>
        <w:t>26</w:t>
      </w:r>
      <w:r w:rsidR="008F69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маусым</w:t>
      </w:r>
    </w:p>
    <w:p w:rsidR="00E94CDF" w:rsidRDefault="00E94CDF" w:rsidP="00E94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995" w:rsidRDefault="008F6995" w:rsidP="00E94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Бәйтерек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» ҰБХ</w:t>
      </w:r>
      <w:r w:rsidRPr="008F69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6995">
        <w:rPr>
          <w:rFonts w:ascii="Times New Roman" w:hAnsi="Times New Roman" w:cs="Times New Roman"/>
          <w:sz w:val="28"/>
          <w:szCs w:val="28"/>
        </w:rPr>
        <w:t>АҚ</w:t>
      </w:r>
      <w:r>
        <w:rPr>
          <w:rFonts w:ascii="Times New Roman" w:hAnsi="Times New Roman" w:cs="Times New Roman"/>
          <w:sz w:val="28"/>
          <w:szCs w:val="28"/>
          <w:lang w:val="kk-KZ"/>
        </w:rPr>
        <w:t>-ның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8F6995">
        <w:rPr>
          <w:rFonts w:ascii="Times New Roman" w:hAnsi="Times New Roman" w:cs="Times New Roman"/>
          <w:sz w:val="28"/>
          <w:szCs w:val="28"/>
        </w:rPr>
        <w:t xml:space="preserve">, Холдинг) 2020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Холдингтің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А. </w:t>
      </w:r>
      <w:r>
        <w:rPr>
          <w:rFonts w:ascii="Times New Roman" w:hAnsi="Times New Roman" w:cs="Times New Roman"/>
          <w:sz w:val="28"/>
          <w:szCs w:val="28"/>
          <w:lang w:val="kk-KZ"/>
        </w:rPr>
        <w:t>Әріп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хановтың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қаңтардан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мамырға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Холдингтің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Жобаны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департаментінде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ЖҚД</w:t>
      </w:r>
      <w:r w:rsidRPr="008F69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 w:rsidRPr="008F6995">
        <w:rPr>
          <w:rFonts w:ascii="Times New Roman" w:hAnsi="Times New Roman" w:cs="Times New Roman"/>
          <w:sz w:val="28"/>
          <w:szCs w:val="28"/>
        </w:rPr>
        <w:t xml:space="preserve">№ 2483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жазба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жіберді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Холдингтің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шілдедегі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>) 14-тармағын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орындау үшін</w:t>
      </w:r>
      <w:r w:rsidRPr="008F6995">
        <w:rPr>
          <w:rFonts w:ascii="Times New Roman" w:hAnsi="Times New Roman" w:cs="Times New Roman"/>
          <w:sz w:val="28"/>
          <w:szCs w:val="28"/>
        </w:rPr>
        <w:t xml:space="preserve"> (№ 28/17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Холдингтің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6995">
        <w:rPr>
          <w:rFonts w:ascii="Times New Roman" w:hAnsi="Times New Roman" w:cs="Times New Roman"/>
          <w:sz w:val="28"/>
          <w:szCs w:val="28"/>
        </w:rPr>
        <w:t>өрағасы</w:t>
      </w:r>
      <w:proofErr w:type="spellEnd"/>
      <w:r w:rsidR="00B06FAB">
        <w:rPr>
          <w:rFonts w:ascii="Times New Roman" w:hAnsi="Times New Roman" w:cs="Times New Roman"/>
          <w:sz w:val="28"/>
          <w:szCs w:val="28"/>
          <w:lang w:val="kk-KZ"/>
        </w:rPr>
        <w:t>ның м.а.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Ә.</w:t>
      </w:r>
      <w:r w:rsidR="00B06FAB">
        <w:rPr>
          <w:rFonts w:ascii="Times New Roman" w:hAnsi="Times New Roman" w:cs="Times New Roman"/>
          <w:sz w:val="28"/>
          <w:szCs w:val="28"/>
          <w:lang w:val="kk-KZ"/>
        </w:rPr>
        <w:t>С. Омарқожаев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» 2020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маусымдағы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№ </w:t>
      </w:r>
      <w:r w:rsidR="00B06FAB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Pr="008F69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бұйрығы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шығарылды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995" w:rsidRPr="008F6995" w:rsidRDefault="008F6995" w:rsidP="008F6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Саясаттың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16-тармағына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>:</w:t>
      </w:r>
    </w:p>
    <w:p w:rsidR="008F6995" w:rsidRPr="008F6995" w:rsidRDefault="008F6995" w:rsidP="008F6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95">
        <w:rPr>
          <w:rFonts w:ascii="Times New Roman" w:hAnsi="Times New Roman" w:cs="Times New Roman"/>
          <w:sz w:val="28"/>
          <w:szCs w:val="28"/>
        </w:rPr>
        <w:t xml:space="preserve">1) </w:t>
      </w:r>
      <w:r w:rsidR="00C21C56">
        <w:rPr>
          <w:rFonts w:ascii="Times New Roman" w:hAnsi="Times New Roman" w:cs="Times New Roman"/>
          <w:sz w:val="28"/>
          <w:szCs w:val="28"/>
          <w:lang w:val="kk-KZ"/>
        </w:rPr>
        <w:t>Бөлімшенің</w:t>
      </w:r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Холдингтің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құжаттарында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>;</w:t>
      </w:r>
    </w:p>
    <w:p w:rsidR="008F6995" w:rsidRDefault="008F6995" w:rsidP="008F69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995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="00C21C56">
        <w:rPr>
          <w:rFonts w:ascii="Times New Roman" w:hAnsi="Times New Roman" w:cs="Times New Roman"/>
          <w:sz w:val="28"/>
          <w:szCs w:val="28"/>
          <w:lang w:val="kk-KZ"/>
        </w:rPr>
        <w:t>ше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басқарушылық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қызметіндегі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995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F6995">
        <w:rPr>
          <w:rFonts w:ascii="Times New Roman" w:hAnsi="Times New Roman" w:cs="Times New Roman"/>
          <w:sz w:val="28"/>
          <w:szCs w:val="28"/>
        </w:rPr>
        <w:t>.</w:t>
      </w:r>
    </w:p>
    <w:p w:rsidR="007F0DB9" w:rsidRDefault="007F0DB9" w:rsidP="007F0D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56" w:rsidRDefault="00C21C56" w:rsidP="00C21C5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ЖҚД</w:t>
      </w:r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қызметіне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әсер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ететін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Холдингтің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ішкі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нормативтік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құжаттарында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бұдан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әрі</w:t>
      </w:r>
      <w:proofErr w:type="spellEnd"/>
      <w:r w:rsidRPr="00C21C56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  <w:lang w:val="kk-KZ"/>
        </w:rPr>
        <w:t>ІНҚ</w:t>
      </w:r>
      <w:r w:rsidRPr="00C21C56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Pr="00C21C56">
        <w:rPr>
          <w:rFonts w:ascii="Times New Roman" w:hAnsi="Times New Roman"/>
          <w:b/>
          <w:sz w:val="28"/>
          <w:szCs w:val="28"/>
        </w:rPr>
        <w:t>сыбайлас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жемқорлық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тәуекелдерін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анықтау</w:t>
      </w:r>
      <w:proofErr w:type="spellEnd"/>
    </w:p>
    <w:p w:rsidR="007F0DB9" w:rsidRDefault="007F0DB9" w:rsidP="000A25CA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F0DB9" w:rsidRDefault="00C21C56" w:rsidP="000A25CA">
      <w:pPr>
        <w:pStyle w:val="a3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 w:rsidRPr="00C21C56">
        <w:rPr>
          <w:rFonts w:ascii="Times New Roman" w:hAnsi="Times New Roman"/>
          <w:sz w:val="28"/>
          <w:szCs w:val="28"/>
          <w:lang w:val="kk-KZ"/>
        </w:rPr>
        <w:t xml:space="preserve">ЖҚД қызметіне әсер ететін Холдингтің </w:t>
      </w:r>
      <w:r>
        <w:rPr>
          <w:rFonts w:ascii="Times New Roman" w:hAnsi="Times New Roman"/>
          <w:sz w:val="28"/>
          <w:szCs w:val="28"/>
          <w:lang w:val="kk-KZ"/>
        </w:rPr>
        <w:t>ІНҚ тізбесі:</w:t>
      </w:r>
    </w:p>
    <w:p w:rsidR="000A25CA" w:rsidRPr="000A25CA" w:rsidRDefault="000A25CA" w:rsidP="000A25C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>Холдингтің директорлар Кеңесінің 2018 жылғы 20 қыркүйектегі шешімімен бекітілген Холдингтің инвестициялық саясаты (№ 08/18 хаттама);</w:t>
      </w:r>
    </w:p>
    <w:p w:rsidR="000A25CA" w:rsidRPr="000A25CA" w:rsidRDefault="000A25CA" w:rsidP="000A25C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Холдингтің директорлар Кеңесінің 2019 жылғы 17 қазандағы шешімімен бекітілген 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меншік құқығында</w:t>
      </w: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Холдингке тікелей тиесілі активтерді сату ережесі (№ 10/19 шешім);</w:t>
      </w:r>
    </w:p>
    <w:p w:rsidR="000A25CA" w:rsidRPr="000A25CA" w:rsidRDefault="000A25CA" w:rsidP="000A25C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>Холдинг Басқармасының 2016 жылғы 28 сәуірдегі шешімімен бекітілген Холдингтің инвестициялық жобаларын іске асыру және бюджеттік қаражаттарды пайдалану мониторингі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н жүргізу</w:t>
      </w: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ережесі (№ 20/16 хаттама);</w:t>
      </w:r>
    </w:p>
    <w:p w:rsidR="000A25CA" w:rsidRPr="000A25CA" w:rsidRDefault="000A25CA" w:rsidP="00B5686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Холдингтің 2018 жылғы 14 наурыздағы шешімімен бекітілген Холдингтің жобаларды іздеу, құрылымдау, талдау және бақылау 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регламенті</w:t>
      </w: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</w:t>
      </w:r>
      <w:r w:rsidR="005A3C2A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             </w:t>
      </w:r>
      <w:r w:rsidRPr="000A25CA">
        <w:rPr>
          <w:rStyle w:val="FontStyle26"/>
          <w:rFonts w:ascii="Times New Roman" w:hAnsi="Times New Roman"/>
          <w:sz w:val="28"/>
          <w:szCs w:val="28"/>
          <w:lang w:val="kk-KZ"/>
        </w:rPr>
        <w:t>(№ 09/18 хаттама);</w:t>
      </w:r>
    </w:p>
    <w:p w:rsidR="000A25CA" w:rsidRPr="000A25CA" w:rsidRDefault="00B5686F" w:rsidP="00B5686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>• Холдинг Басқармасының 22.06.2016 ж. (№ 26/16 хаттама)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</w:t>
      </w: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шешімімен бекітілген «Бәйтерек» ұлттық басқарушы холдингінің 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 xml:space="preserve">және </w:t>
      </w: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>дауыс беретін акцияларының (жарғылық капиталдағы қатысу үлестерінің) елу проценттен астам пайызы Холдинг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ке</w:t>
      </w: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тікелей немесе жанама түрде 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меншік құқығында тиесілі</w:t>
      </w: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 xml:space="preserve"> ұйымдардың активтерін бәсекелестік ортаға беру туралы Жобалық </w:t>
      </w:r>
      <w:r>
        <w:rPr>
          <w:rStyle w:val="FontStyle26"/>
          <w:rFonts w:ascii="Times New Roman" w:hAnsi="Times New Roman"/>
          <w:sz w:val="28"/>
          <w:szCs w:val="28"/>
          <w:lang w:val="kk-KZ"/>
        </w:rPr>
        <w:t>кеңсе туралы ереже</w:t>
      </w: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t>;</w:t>
      </w:r>
    </w:p>
    <w:p w:rsidR="00B5686F" w:rsidRPr="00B5686F" w:rsidRDefault="00B5686F" w:rsidP="00B5686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B5686F">
        <w:rPr>
          <w:rStyle w:val="FontStyle26"/>
          <w:rFonts w:ascii="Times New Roman" w:hAnsi="Times New Roman"/>
          <w:sz w:val="28"/>
          <w:szCs w:val="28"/>
          <w:lang w:val="kk-KZ"/>
        </w:rPr>
        <w:lastRenderedPageBreak/>
        <w:t>Холдинг Басқармасының 2018 жылғы 28 қарашадағы шешімімен бекітілген Холдингтің операциялық комитеті туралы ереже (№ 53/18 хаттама);</w:t>
      </w:r>
    </w:p>
    <w:p w:rsidR="00A92C1A" w:rsidRPr="00B06FAB" w:rsidRDefault="00B5686F" w:rsidP="00B5686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  <w:lang w:val="kk-KZ"/>
        </w:rPr>
      </w:pPr>
      <w:r w:rsidRPr="00B06FAB">
        <w:rPr>
          <w:rStyle w:val="FontStyle26"/>
          <w:rFonts w:ascii="Times New Roman" w:hAnsi="Times New Roman"/>
          <w:sz w:val="28"/>
          <w:szCs w:val="28"/>
          <w:lang w:val="kk-KZ"/>
        </w:rPr>
        <w:t>Холдинг Басқармасының 2018 жылғы 28 қарашадағы шешімімен бекітілген Холдингтің Басқару комитеті туралы ереже (№ 53/18 хаттама).</w:t>
      </w:r>
    </w:p>
    <w:p w:rsidR="00B5686F" w:rsidRPr="00B06FAB" w:rsidRDefault="00B5686F" w:rsidP="0087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ЖҚД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қызметіне ықпал ететін Холдингтің жоғарыда </w:t>
      </w:r>
      <w:r>
        <w:rPr>
          <w:rFonts w:ascii="Times New Roman" w:hAnsi="Times New Roman"/>
          <w:sz w:val="28"/>
          <w:szCs w:val="28"/>
          <w:lang w:val="kk-KZ"/>
        </w:rPr>
        <w:t>көрсетілген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ішкі нормативтік құжаттарының нормаларын талдау сыбайлас жемқорлыққа жағдай туғызатын сыбайлас жемқорлық тәуекелдерін немесе нормаларын анықтаған жоқ.</w:t>
      </w:r>
    </w:p>
    <w:p w:rsidR="00834926" w:rsidRPr="00B06FAB" w:rsidRDefault="00834926" w:rsidP="008349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834926" w:rsidRPr="00B06FAB" w:rsidRDefault="00285C08" w:rsidP="0083492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Бөлімшенің ұйымдастыру-басқару қызметіндегі сыбайлас жемқорлық тәуекелдерін анықтау</w:t>
      </w:r>
    </w:p>
    <w:p w:rsidR="00834926" w:rsidRPr="00B06FAB" w:rsidRDefault="00834926" w:rsidP="00834926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val="kk-KZ"/>
        </w:rPr>
      </w:pPr>
    </w:p>
    <w:p w:rsidR="00E039A8" w:rsidRPr="00B06FAB" w:rsidRDefault="00E039A8" w:rsidP="00E03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>Саясаттың 17-тармағына сәйкес Бөлім</w:t>
      </w:r>
      <w:r>
        <w:rPr>
          <w:rFonts w:ascii="Times New Roman" w:hAnsi="Times New Roman"/>
          <w:sz w:val="28"/>
          <w:szCs w:val="28"/>
          <w:lang w:val="kk-KZ"/>
        </w:rPr>
        <w:t>ше</w:t>
      </w:r>
      <w:r w:rsidRPr="00B06FAB">
        <w:rPr>
          <w:rFonts w:ascii="Times New Roman" w:hAnsi="Times New Roman"/>
          <w:sz w:val="28"/>
          <w:szCs w:val="28"/>
          <w:lang w:val="kk-KZ"/>
        </w:rPr>
        <w:t>нің ұйымдастырушылық және басқарушылық қызметі келесі мәселелерді қамтиды:</w:t>
      </w:r>
    </w:p>
    <w:p w:rsidR="00E039A8" w:rsidRPr="00B06FAB" w:rsidRDefault="00E039A8" w:rsidP="00E03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>1) персоналды басқару, оның ішінде кадрлардың ауысуы;</w:t>
      </w:r>
    </w:p>
    <w:p w:rsidR="00E039A8" w:rsidRPr="00B06FAB" w:rsidRDefault="00E039A8" w:rsidP="00E03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>2) мүдделер қақтығысын реттеу;</w:t>
      </w:r>
    </w:p>
    <w:p w:rsidR="00E039A8" w:rsidRPr="00B06FAB" w:rsidRDefault="00E039A8" w:rsidP="00E039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>3) Бөлім</w:t>
      </w:r>
      <w:r>
        <w:rPr>
          <w:rFonts w:ascii="Times New Roman" w:hAnsi="Times New Roman"/>
          <w:sz w:val="28"/>
          <w:szCs w:val="28"/>
          <w:lang w:val="kk-KZ"/>
        </w:rPr>
        <w:t>ше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қызметінің Холдингтің ішкі нормативтік құжаттарына және Қазақстан Республикасының заңнамасына сәйкестігі.</w:t>
      </w:r>
    </w:p>
    <w:p w:rsidR="00E039A8" w:rsidRPr="00B06FAB" w:rsidRDefault="00E039A8" w:rsidP="00E039A8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01.01.2019 ж. </w:t>
      </w:r>
      <w:r>
        <w:rPr>
          <w:rFonts w:ascii="Times New Roman" w:hAnsi="Times New Roman"/>
          <w:sz w:val="28"/>
          <w:szCs w:val="28"/>
          <w:lang w:val="kk-KZ"/>
        </w:rPr>
        <w:t>жағдай бойынша ҚЖД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штат саны </w:t>
      </w:r>
      <w:r w:rsidR="00B06FAB">
        <w:rPr>
          <w:rFonts w:ascii="Times New Roman" w:hAnsi="Times New Roman"/>
          <w:sz w:val="28"/>
          <w:szCs w:val="28"/>
          <w:lang w:val="kk-KZ"/>
        </w:rPr>
        <w:t>9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бірлікті, 31.05.2020 ж. </w:t>
      </w:r>
      <w:r w:rsidR="005A3C2A">
        <w:rPr>
          <w:rFonts w:ascii="Times New Roman" w:hAnsi="Times New Roman"/>
          <w:sz w:val="28"/>
          <w:szCs w:val="28"/>
          <w:lang w:val="kk-KZ"/>
        </w:rPr>
        <w:t>ж</w:t>
      </w:r>
      <w:r w:rsidR="00B06FAB">
        <w:rPr>
          <w:rFonts w:ascii="Times New Roman" w:hAnsi="Times New Roman"/>
          <w:sz w:val="28"/>
          <w:szCs w:val="28"/>
          <w:lang w:val="kk-KZ"/>
        </w:rPr>
        <w:t>ағдай бойынша - 8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бірлік</w:t>
      </w:r>
      <w:r w:rsidR="005A3C2A">
        <w:rPr>
          <w:rFonts w:ascii="Times New Roman" w:hAnsi="Times New Roman"/>
          <w:sz w:val="28"/>
          <w:szCs w:val="28"/>
          <w:lang w:val="kk-KZ"/>
        </w:rPr>
        <w:t>ті</w:t>
      </w:r>
      <w:r w:rsidR="005A3C2A" w:rsidRPr="00B06FAB">
        <w:rPr>
          <w:rFonts w:ascii="Times New Roman" w:hAnsi="Times New Roman"/>
          <w:sz w:val="28"/>
          <w:szCs w:val="28"/>
          <w:lang w:val="kk-KZ"/>
        </w:rPr>
        <w:t xml:space="preserve"> құрады</w:t>
      </w:r>
      <w:r w:rsidRPr="00B06FAB">
        <w:rPr>
          <w:rFonts w:ascii="Times New Roman" w:hAnsi="Times New Roman"/>
          <w:sz w:val="28"/>
          <w:szCs w:val="28"/>
          <w:lang w:val="kk-KZ"/>
        </w:rPr>
        <w:t>. 2020 жылдың қаңтар-ақпан айларында басқа заң</w:t>
      </w:r>
      <w:r w:rsidR="005A3C2A" w:rsidRPr="00B06FAB">
        <w:rPr>
          <w:rFonts w:ascii="Times New Roman" w:hAnsi="Times New Roman"/>
          <w:sz w:val="28"/>
          <w:szCs w:val="28"/>
          <w:lang w:val="kk-KZ"/>
        </w:rPr>
        <w:t xml:space="preserve">ды тұлғаға ауысуына байланысты </w:t>
      </w:r>
      <w:r w:rsidR="005A3C2A">
        <w:rPr>
          <w:rFonts w:ascii="Times New Roman" w:hAnsi="Times New Roman"/>
          <w:sz w:val="28"/>
          <w:szCs w:val="28"/>
          <w:lang w:val="kk-KZ"/>
        </w:rPr>
        <w:t xml:space="preserve">ЖҚД 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директоры А.Ералин және </w:t>
      </w:r>
      <w:r w:rsidR="005A3C2A">
        <w:rPr>
          <w:rFonts w:ascii="Times New Roman" w:hAnsi="Times New Roman"/>
          <w:sz w:val="28"/>
          <w:szCs w:val="28"/>
          <w:lang w:val="kk-KZ"/>
        </w:rPr>
        <w:t xml:space="preserve">ЖҚД 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жоба </w:t>
      </w:r>
      <w:r w:rsidR="005A3C2A">
        <w:rPr>
          <w:rFonts w:ascii="Times New Roman" w:hAnsi="Times New Roman"/>
          <w:sz w:val="28"/>
          <w:szCs w:val="28"/>
          <w:lang w:val="kk-KZ"/>
        </w:rPr>
        <w:t>жетекшісі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Е.М</w:t>
      </w:r>
      <w:r w:rsidR="005A3C2A">
        <w:rPr>
          <w:rFonts w:ascii="Times New Roman" w:hAnsi="Times New Roman"/>
          <w:sz w:val="28"/>
          <w:szCs w:val="28"/>
          <w:lang w:val="kk-KZ"/>
        </w:rPr>
        <w:t>ың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жанов </w:t>
      </w:r>
      <w:r w:rsidR="005A3C2A">
        <w:rPr>
          <w:rFonts w:ascii="Times New Roman" w:hAnsi="Times New Roman"/>
          <w:sz w:val="28"/>
          <w:szCs w:val="28"/>
          <w:lang w:val="kk-KZ"/>
        </w:rPr>
        <w:t xml:space="preserve">жұмыстан босатылып, 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конкурстың нәтижелері бойынша жоба </w:t>
      </w:r>
      <w:r w:rsidR="005A3C2A">
        <w:rPr>
          <w:rFonts w:ascii="Times New Roman" w:hAnsi="Times New Roman"/>
          <w:sz w:val="28"/>
          <w:szCs w:val="28"/>
          <w:lang w:val="kk-KZ"/>
        </w:rPr>
        <w:t>жетекшісі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сол айда </w:t>
      </w:r>
      <w:r w:rsidR="005A3C2A">
        <w:rPr>
          <w:rFonts w:ascii="Times New Roman" w:hAnsi="Times New Roman"/>
          <w:sz w:val="28"/>
          <w:szCs w:val="28"/>
          <w:lang w:val="kk-KZ"/>
        </w:rPr>
        <w:t>орналастырылды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. Екінші бос жұмыс орны есепті кезеңде </w:t>
      </w:r>
      <w:r w:rsidR="005A3C2A">
        <w:rPr>
          <w:rFonts w:ascii="Times New Roman" w:hAnsi="Times New Roman"/>
          <w:sz w:val="28"/>
          <w:szCs w:val="28"/>
          <w:lang w:val="kk-KZ"/>
        </w:rPr>
        <w:t>орналастырылған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 жоқ.</w:t>
      </w:r>
    </w:p>
    <w:p w:rsidR="00E039A8" w:rsidRPr="00B06FAB" w:rsidRDefault="00E039A8" w:rsidP="00E039A8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>2. Есепті кезеңде мүдделер қақтығысы анықталған жоқ.</w:t>
      </w:r>
    </w:p>
    <w:p w:rsidR="00834926" w:rsidRPr="00B06FAB" w:rsidRDefault="00E039A8" w:rsidP="00E039A8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06FAB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5A3C2A">
        <w:rPr>
          <w:rFonts w:ascii="Times New Roman" w:hAnsi="Times New Roman"/>
          <w:sz w:val="28"/>
          <w:szCs w:val="28"/>
          <w:lang w:val="kk-KZ"/>
        </w:rPr>
        <w:t>ЖҚД қызметінің</w:t>
      </w:r>
      <w:r w:rsidR="005A3C2A" w:rsidRPr="00B06F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06FAB">
        <w:rPr>
          <w:rFonts w:ascii="Times New Roman" w:hAnsi="Times New Roman"/>
          <w:sz w:val="28"/>
          <w:szCs w:val="28"/>
          <w:lang w:val="kk-KZ"/>
        </w:rPr>
        <w:t>Холдингтің ішкі нормативтік құжаттарына және Қазақстан Республикасының заңнамасына сәйкес кел</w:t>
      </w:r>
      <w:r w:rsidR="005A3C2A">
        <w:rPr>
          <w:rFonts w:ascii="Times New Roman" w:hAnsi="Times New Roman"/>
          <w:sz w:val="28"/>
          <w:szCs w:val="28"/>
          <w:lang w:val="kk-KZ"/>
        </w:rPr>
        <w:t>ме</w:t>
      </w:r>
      <w:r w:rsidRPr="00B06FAB">
        <w:rPr>
          <w:rFonts w:ascii="Times New Roman" w:hAnsi="Times New Roman"/>
          <w:sz w:val="28"/>
          <w:szCs w:val="28"/>
          <w:lang w:val="kk-KZ"/>
        </w:rPr>
        <w:t xml:space="preserve">у фактілері </w:t>
      </w:r>
      <w:r w:rsidR="005A3C2A">
        <w:rPr>
          <w:rFonts w:ascii="Times New Roman" w:hAnsi="Times New Roman"/>
          <w:sz w:val="28"/>
          <w:szCs w:val="28"/>
          <w:lang w:val="kk-KZ"/>
        </w:rPr>
        <w:t xml:space="preserve">анықталған </w:t>
      </w:r>
      <w:r w:rsidRPr="00B06FAB">
        <w:rPr>
          <w:rFonts w:ascii="Times New Roman" w:hAnsi="Times New Roman"/>
          <w:sz w:val="28"/>
          <w:szCs w:val="28"/>
          <w:lang w:val="kk-KZ"/>
        </w:rPr>
        <w:t>жоқ.</w:t>
      </w:r>
    </w:p>
    <w:p w:rsidR="00430106" w:rsidRPr="00B06FAB" w:rsidRDefault="00357312" w:rsidP="004301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Қорытынды</w:t>
      </w:r>
      <w:r w:rsidR="00430106" w:rsidRPr="00B06FAB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p w:rsidR="00BD05BE" w:rsidRPr="00B06FAB" w:rsidRDefault="00BD05BE" w:rsidP="004301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ЖҚД</w:t>
      </w:r>
      <w:r w:rsidRPr="00B06FA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қызметін талдау нәтижелері бойынша 2019 жылдың қаңтарынан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бастап </w:t>
      </w:r>
      <w:r w:rsidRPr="00B06FA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2020 жылдың мамырына дейінгі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кезеңде</w:t>
      </w:r>
      <w:r w:rsidRPr="00B06FAB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сыбайлас жемқорлық қауіптері анықталған жоқ</w:t>
      </w:r>
      <w:r w:rsidR="005743CA">
        <w:rPr>
          <w:rFonts w:ascii="Times New Roman" w:hAnsi="Times New Roman"/>
          <w:b/>
          <w:sz w:val="28"/>
          <w:szCs w:val="28"/>
          <w:u w:val="single"/>
          <w:lang w:val="kk-KZ"/>
        </w:rPr>
        <w:t>.</w:t>
      </w:r>
    </w:p>
    <w:p w:rsidR="00D11F71" w:rsidRPr="00B06FAB" w:rsidRDefault="00D11F71" w:rsidP="00D11F71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711D" w:rsidRPr="00B06FAB" w:rsidRDefault="0001711D" w:rsidP="00D11F71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1F71" w:rsidRPr="00B06FAB" w:rsidRDefault="00D11F71" w:rsidP="00D11F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11F71" w:rsidRPr="00B06FAB" w:rsidRDefault="00357312" w:rsidP="00D11F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омплаенс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қызметінің басшысы  </w:t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  <w:t>Р. Арыстанбеков</w:t>
      </w:r>
    </w:p>
    <w:p w:rsidR="00D11F71" w:rsidRPr="00B06FAB" w:rsidRDefault="00D11F71" w:rsidP="00D11F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1F71" w:rsidRPr="00B06FAB" w:rsidRDefault="00357312" w:rsidP="00D11F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57312" w:rsidRDefault="00357312" w:rsidP="00D11F71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Жобалық қаржыландыру</w:t>
      </w:r>
    </w:p>
    <w:p w:rsidR="00D11F71" w:rsidRPr="006B5E3D" w:rsidRDefault="00357312" w:rsidP="005743CA">
      <w:pPr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департаменті директорының м.а.</w:t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11F71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505E2" w:rsidRPr="00B06F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F505E2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505E2" w:rsidRPr="00B06FA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7613D">
        <w:rPr>
          <w:rFonts w:ascii="Times New Roman" w:hAnsi="Times New Roman" w:cs="Times New Roman"/>
          <w:b/>
          <w:sz w:val="28"/>
          <w:szCs w:val="28"/>
        </w:rPr>
        <w:t xml:space="preserve">Е. </w:t>
      </w:r>
      <w:r w:rsidR="0001711D">
        <w:rPr>
          <w:rFonts w:ascii="Times New Roman" w:hAnsi="Times New Roman" w:cs="Times New Roman"/>
          <w:b/>
          <w:sz w:val="28"/>
          <w:szCs w:val="28"/>
          <w:lang w:val="kk-KZ"/>
        </w:rPr>
        <w:t>Нұрғали</w:t>
      </w:r>
    </w:p>
    <w:sectPr w:rsidR="00D11F71" w:rsidRPr="006B5E3D" w:rsidSect="004301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A2E3F"/>
    <w:multiLevelType w:val="hybridMultilevel"/>
    <w:tmpl w:val="1A20C256"/>
    <w:lvl w:ilvl="0" w:tplc="08505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84F92"/>
    <w:multiLevelType w:val="hybridMultilevel"/>
    <w:tmpl w:val="70A4D13E"/>
    <w:lvl w:ilvl="0" w:tplc="72300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A3B24"/>
    <w:multiLevelType w:val="hybridMultilevel"/>
    <w:tmpl w:val="44BEB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1A28"/>
    <w:multiLevelType w:val="hybridMultilevel"/>
    <w:tmpl w:val="E0E4324A"/>
    <w:lvl w:ilvl="0" w:tplc="B79ED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F87548"/>
    <w:multiLevelType w:val="hybridMultilevel"/>
    <w:tmpl w:val="1346C306"/>
    <w:lvl w:ilvl="0" w:tplc="6E181B2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EC457B"/>
    <w:multiLevelType w:val="hybridMultilevel"/>
    <w:tmpl w:val="F8A0C28C"/>
    <w:lvl w:ilvl="0" w:tplc="F3F0B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68E2"/>
    <w:multiLevelType w:val="hybridMultilevel"/>
    <w:tmpl w:val="FB1AB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172DF2"/>
    <w:multiLevelType w:val="hybridMultilevel"/>
    <w:tmpl w:val="2B408FE8"/>
    <w:lvl w:ilvl="0" w:tplc="CCA2E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27"/>
    <w:rsid w:val="0001711D"/>
    <w:rsid w:val="00085668"/>
    <w:rsid w:val="000A25CA"/>
    <w:rsid w:val="000D5200"/>
    <w:rsid w:val="00137828"/>
    <w:rsid w:val="00144AB8"/>
    <w:rsid w:val="0016462A"/>
    <w:rsid w:val="001D41C0"/>
    <w:rsid w:val="00211EDA"/>
    <w:rsid w:val="00217397"/>
    <w:rsid w:val="00217A14"/>
    <w:rsid w:val="002470D3"/>
    <w:rsid w:val="00285C08"/>
    <w:rsid w:val="00291F27"/>
    <w:rsid w:val="00322B6B"/>
    <w:rsid w:val="00336991"/>
    <w:rsid w:val="00357312"/>
    <w:rsid w:val="003B1AA8"/>
    <w:rsid w:val="00430106"/>
    <w:rsid w:val="00455176"/>
    <w:rsid w:val="00484CFE"/>
    <w:rsid w:val="004A280D"/>
    <w:rsid w:val="004F76DE"/>
    <w:rsid w:val="00554D35"/>
    <w:rsid w:val="005743CA"/>
    <w:rsid w:val="005A3C2A"/>
    <w:rsid w:val="0060189E"/>
    <w:rsid w:val="00603D81"/>
    <w:rsid w:val="00665B32"/>
    <w:rsid w:val="006B5E3D"/>
    <w:rsid w:val="00757C07"/>
    <w:rsid w:val="00796F1E"/>
    <w:rsid w:val="007F0DB9"/>
    <w:rsid w:val="00834926"/>
    <w:rsid w:val="00836F70"/>
    <w:rsid w:val="008476AB"/>
    <w:rsid w:val="0087613D"/>
    <w:rsid w:val="008C7249"/>
    <w:rsid w:val="008F6995"/>
    <w:rsid w:val="00900249"/>
    <w:rsid w:val="009B1426"/>
    <w:rsid w:val="00A92C1A"/>
    <w:rsid w:val="00AD4929"/>
    <w:rsid w:val="00B06FAB"/>
    <w:rsid w:val="00B5686F"/>
    <w:rsid w:val="00B57DF3"/>
    <w:rsid w:val="00B86A3C"/>
    <w:rsid w:val="00BB23E8"/>
    <w:rsid w:val="00BD05BE"/>
    <w:rsid w:val="00BD5053"/>
    <w:rsid w:val="00C21C56"/>
    <w:rsid w:val="00C339D4"/>
    <w:rsid w:val="00C50E8A"/>
    <w:rsid w:val="00CD38F0"/>
    <w:rsid w:val="00D11F71"/>
    <w:rsid w:val="00D720E8"/>
    <w:rsid w:val="00DB6F3C"/>
    <w:rsid w:val="00E039A8"/>
    <w:rsid w:val="00E90ECC"/>
    <w:rsid w:val="00E94CDF"/>
    <w:rsid w:val="00E97931"/>
    <w:rsid w:val="00F505E2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B57A-C5D3-4108-9F99-964150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6">
    <w:name w:val="Font Style26"/>
    <w:uiPriority w:val="99"/>
    <w:rsid w:val="00085668"/>
    <w:rPr>
      <w:rFonts w:ascii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1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A1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4A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4A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4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Арыстанбеков</dc:creator>
  <cp:keywords/>
  <dc:description/>
  <cp:lastModifiedBy>Равиль Арыстанбеков</cp:lastModifiedBy>
  <cp:revision>2</cp:revision>
  <cp:lastPrinted>2018-06-11T12:57:00Z</cp:lastPrinted>
  <dcterms:created xsi:type="dcterms:W3CDTF">2020-06-26T09:09:00Z</dcterms:created>
  <dcterms:modified xsi:type="dcterms:W3CDTF">2020-06-26T09:09:00Z</dcterms:modified>
</cp:coreProperties>
</file>