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6702" w14:textId="3D880612" w:rsidR="00D2282C" w:rsidRPr="00900F2B" w:rsidRDefault="00900F2B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on the implementation of the State program for the development of productive employment of mass entrepreneurship for 2017-2021 </w:t>
      </w:r>
      <w:proofErr w:type="spellStart"/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>Enbek</w:t>
      </w:r>
      <w:proofErr w:type="spellEnd"/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of January 5, 2020</w:t>
      </w:r>
    </w:p>
    <w:p w14:paraId="42F469DB" w14:textId="77777777" w:rsidR="00EB33A1" w:rsidRPr="00900F2B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8DBDE5" w14:textId="51D10E3B" w:rsidR="00D2282C" w:rsidRPr="00900F2B" w:rsidRDefault="00900F2B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information on the implementation of the program by years (in million </w:t>
      </w:r>
      <w:proofErr w:type="spellStart"/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658" w:type="dxa"/>
        <w:jc w:val="center"/>
        <w:tblLook w:val="04A0" w:firstRow="1" w:lastRow="0" w:firstColumn="1" w:lastColumn="0" w:noHBand="0" w:noVBand="1"/>
      </w:tblPr>
      <w:tblGrid>
        <w:gridCol w:w="3971"/>
        <w:gridCol w:w="1991"/>
        <w:gridCol w:w="1847"/>
        <w:gridCol w:w="1849"/>
      </w:tblGrid>
      <w:tr w:rsidR="00D2282C" w:rsidRPr="009511EC" w14:paraId="3A3C83D3" w14:textId="77777777" w:rsidTr="00E505E9">
        <w:trPr>
          <w:trHeight w:val="500"/>
          <w:jc w:val="center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D2282C" w:rsidRPr="00900F2B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19829526" w:rsidR="00D2282C" w:rsidRPr="00DA7BFE" w:rsidRDefault="00900F2B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45DD9562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900F2B" w:rsidRPr="00900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3CA3E672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="00900F2B" w:rsidRPr="00900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</w:tr>
      <w:tr w:rsidR="00D2282C" w:rsidRPr="009511EC" w14:paraId="4539EC1B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1855" w14:textId="7104648D" w:rsidR="00D2282C" w:rsidRPr="00900F2B" w:rsidRDefault="00900F2B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Allocated money from the budget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5761613F" w:rsidR="00D2282C" w:rsidRPr="00DA7BFE" w:rsidRDefault="006A5C68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12 859</w:t>
            </w:r>
          </w:p>
        </w:tc>
      </w:tr>
      <w:tr w:rsidR="00D2282C" w:rsidRPr="009511EC" w14:paraId="16C4F54D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15915B33" w:rsidR="00D2282C" w:rsidRPr="00900F2B" w:rsidRDefault="00900F2B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Placed by the Fund in STB / MFI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F013B40" w:rsidR="00D2282C" w:rsidRPr="00DA7BFE" w:rsidRDefault="005C2A5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7AE9D434" w:rsidR="00D2282C" w:rsidRPr="007D5D8B" w:rsidRDefault="00752F81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12 523</w:t>
            </w:r>
          </w:p>
        </w:tc>
      </w:tr>
      <w:tr w:rsidR="00D2282C" w:rsidRPr="009511EC" w14:paraId="1F520DF6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50C90CC5" w:rsidR="00D2282C" w:rsidRPr="00900F2B" w:rsidRDefault="00900F2B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Funded by borrowers in a calendar year (number)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51C656A0" w:rsidR="00D2282C" w:rsidRPr="00752F81" w:rsidRDefault="0003756C" w:rsidP="00752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519</w:t>
            </w:r>
          </w:p>
        </w:tc>
      </w:tr>
      <w:tr w:rsidR="00D2282C" w:rsidRPr="009511EC" w14:paraId="77442C45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3B236D92" w:rsidR="00D2282C" w:rsidRPr="00900F2B" w:rsidRDefault="00900F2B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Funded by borrowers in a calendar year (amount)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541B6752" w:rsidR="00D2282C" w:rsidRPr="00752F81" w:rsidRDefault="00752F81" w:rsidP="00433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</w:t>
            </w:r>
          </w:p>
        </w:tc>
      </w:tr>
      <w:tr w:rsidR="00D2282C" w:rsidRPr="009511EC" w14:paraId="32ACFBC9" w14:textId="77777777" w:rsidTr="00E505E9">
        <w:trPr>
          <w:trHeight w:val="22"/>
          <w:jc w:val="center"/>
        </w:trPr>
        <w:tc>
          <w:tcPr>
            <w:tcW w:w="96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25C68FF0" w:rsidR="00D2282C" w:rsidRPr="00DA7BFE" w:rsidRDefault="00900F2B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Guarantee</w:t>
            </w:r>
            <w:proofErr w:type="spellEnd"/>
          </w:p>
        </w:tc>
      </w:tr>
      <w:tr w:rsidR="00D2282C" w:rsidRPr="009511EC" w14:paraId="3DDE4860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2BFF3F48" w:rsidR="00D2282C" w:rsidRPr="00DA7BFE" w:rsidRDefault="00900F2B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guarantees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4FB37DDF" w:rsidR="00D2282C" w:rsidRPr="00752F81" w:rsidRDefault="00752F81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659</w:t>
            </w:r>
          </w:p>
        </w:tc>
      </w:tr>
      <w:tr w:rsidR="00D2282C" w:rsidRPr="009511EC" w14:paraId="4DB80475" w14:textId="77777777" w:rsidTr="00E505E9">
        <w:trPr>
          <w:trHeight w:val="78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65E418D3" w:rsidR="00D2282C" w:rsidRPr="00DA7BFE" w:rsidRDefault="00900F2B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Amount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guarantees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77777777" w:rsidR="00D2282C" w:rsidRPr="00DA7BFE" w:rsidRDefault="00D2282C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959.5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77777777" w:rsidR="00D2282C" w:rsidRPr="00DA7BFE" w:rsidRDefault="00D2282C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2 870.8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4F92D7D0" w:rsidR="006721ED" w:rsidRPr="00752F81" w:rsidRDefault="00433F38" w:rsidP="00433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647.34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A277" w14:textId="77777777" w:rsidR="00CC41CA" w:rsidRDefault="00CC41CA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4EB35" w14:textId="571E5C76" w:rsidR="00310253" w:rsidRPr="009511EC" w:rsidRDefault="00900F2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0F2B">
        <w:rPr>
          <w:rFonts w:ascii="Times New Roman" w:hAnsi="Times New Roman" w:cs="Times New Roman"/>
          <w:b/>
          <w:i/>
          <w:sz w:val="24"/>
          <w:szCs w:val="24"/>
        </w:rPr>
        <w:t>Comments</w:t>
      </w:r>
      <w:proofErr w:type="spellEnd"/>
      <w:r w:rsidRPr="00900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0F2B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spellEnd"/>
      <w:r w:rsidRPr="00900F2B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1D9C5659" w:rsidR="00EF5A39" w:rsidRPr="00900F2B" w:rsidRDefault="00900F2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The total amount of funds received in 2019 to the Fund from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Akimats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(funds of the Ministry of Defense and the Republic of Belarus) under the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Enbek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program as of 05.01.2020 is 12 859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12AB5B" w14:textId="63693044" w:rsidR="000B008E" w:rsidRPr="00900F2B" w:rsidRDefault="00E505E9" w:rsidP="00C9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From these funds, the Fund placed an amount of 12,523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in the second-tier banks, in addition, the Fund's Management Board decided to place funds of 1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, including:</w:t>
      </w:r>
    </w:p>
    <w:p w14:paraId="4CD0CC4B" w14:textId="3499FA70" w:rsidR="00FB016B" w:rsidRPr="00900F2B" w:rsidRDefault="000B008E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MFI "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Damu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" in the amount of 1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. (Pavlodar region)</w:t>
      </w:r>
    </w:p>
    <w:p w14:paraId="598D0F3E" w14:textId="7934D104" w:rsidR="00A04959" w:rsidRPr="00900F2B" w:rsidRDefault="00900F2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Total balance of unallocated funds of 2019 under the program is 335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* (taking into account the decisions on placement):</w:t>
      </w:r>
    </w:p>
    <w:p w14:paraId="51A6B8CA" w14:textId="5B263031" w:rsidR="00580E7B" w:rsidRPr="00900F2B" w:rsidRDefault="00900F2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i/>
          <w:sz w:val="24"/>
          <w:szCs w:val="24"/>
          <w:lang w:val="en-US"/>
        </w:rPr>
        <w:t>Turkestan region</w:t>
      </w:r>
      <w:r w:rsidR="00580E7B" w:rsidRPr="00900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335 000 000 </w:t>
      </w:r>
      <w:proofErr w:type="spellStart"/>
      <w:r w:rsidRPr="00900F2B">
        <w:rPr>
          <w:rFonts w:ascii="Times New Roman" w:hAnsi="Times New Roman" w:cs="Times New Roman"/>
          <w:i/>
          <w:sz w:val="24"/>
          <w:szCs w:val="24"/>
          <w:lang w:val="en-US"/>
        </w:rPr>
        <w:t>tenge</w:t>
      </w:r>
      <w:proofErr w:type="spellEnd"/>
      <w:r w:rsidR="00580E7B" w:rsidRPr="00900F2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D35C9B0" w14:textId="77777777" w:rsidR="00E505E9" w:rsidRPr="00900F2B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8EA47A" w14:textId="3116728A" w:rsidR="00371083" w:rsidRPr="00900F2B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Of the funds allocated by the second-tier banks / MFIs in 2019 </w:t>
      </w:r>
      <w:proofErr w:type="gram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in the amount of</w:t>
      </w:r>
      <w:proofErr w:type="gram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12,523.25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as of January 5, 2020, 8,651.9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or 69% of the allocated funds of 2019 were brought to the final borrowers.</w:t>
      </w:r>
    </w:p>
    <w:p w14:paraId="6248A5D3" w14:textId="527B4BC7" w:rsidR="00235320" w:rsidRPr="00900F2B" w:rsidRDefault="00900F2B" w:rsidP="00C52FD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In total, over 12 months of the calendar year 2019, 1,519 projects were funded </w:t>
      </w:r>
      <w:proofErr w:type="gramStart"/>
      <w:r w:rsidRPr="00900F2B">
        <w:rPr>
          <w:rFonts w:ascii="Times New Roman" w:hAnsi="Times New Roman" w:cs="Times New Roman"/>
          <w:sz w:val="24"/>
          <w:szCs w:val="24"/>
          <w:lang w:val="en-US"/>
        </w:rPr>
        <w:t>in the amount of 17,215 million</w:t>
      </w:r>
      <w:proofErr w:type="gram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, taking into account the carry-over funds of 2018.</w:t>
      </w:r>
    </w:p>
    <w:p w14:paraId="180E70C3" w14:textId="77777777" w:rsidR="001655A0" w:rsidRPr="00900F2B" w:rsidRDefault="001655A0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D08ABE6" w14:textId="64CCDA81" w:rsidR="001655A0" w:rsidRPr="00900F2B" w:rsidRDefault="00900F2B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i/>
          <w:sz w:val="24"/>
          <w:szCs w:val="24"/>
          <w:lang w:val="en-US"/>
        </w:rPr>
        <w:t>Comments for 2018</w:t>
      </w:r>
    </w:p>
    <w:p w14:paraId="50B78632" w14:textId="77777777" w:rsidR="00885F0A" w:rsidRPr="00900F2B" w:rsidRDefault="00885F0A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A41EE1" w14:textId="0F57F666" w:rsidR="001655A0" w:rsidRPr="00900F2B" w:rsidRDefault="00900F2B" w:rsidP="005B434F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Of the funds placed by STB / MFIs in 2018 in the amount of 13,948.8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as of January 5, 2020 and 801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(repayable funds of 2017, re-placed) 14,443.8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or 98% were brought to the final borrowers from funds placed in 2018.</w:t>
      </w:r>
    </w:p>
    <w:p w14:paraId="52417B19" w14:textId="3A498156" w:rsidR="001655A0" w:rsidRPr="00900F2B" w:rsidRDefault="00900F2B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In total, for the calendar year 2018, 1,308 projects were funded </w:t>
      </w:r>
      <w:proofErr w:type="gramStart"/>
      <w:r w:rsidRPr="00900F2B">
        <w:rPr>
          <w:rFonts w:ascii="Times New Roman" w:hAnsi="Times New Roman" w:cs="Times New Roman"/>
          <w:sz w:val="24"/>
          <w:szCs w:val="24"/>
          <w:lang w:val="en-US"/>
        </w:rPr>
        <w:t>in the amount of 14,444 million</w:t>
      </w:r>
      <w:proofErr w:type="gram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, taking into account the 2017 carry-over funds.</w:t>
      </w:r>
    </w:p>
    <w:p w14:paraId="4932BE75" w14:textId="77777777" w:rsidR="0008489A" w:rsidRPr="00900F2B" w:rsidRDefault="0008489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AC167AB" w14:textId="77777777" w:rsidR="0008489A" w:rsidRPr="00900F2B" w:rsidRDefault="0008489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ADD24F1" w14:textId="0AA68CF6" w:rsidR="001655A0" w:rsidRPr="00900F2B" w:rsidRDefault="00900F2B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i/>
          <w:sz w:val="24"/>
          <w:szCs w:val="24"/>
          <w:lang w:val="en-US"/>
        </w:rPr>
        <w:t>Comments for 2017</w:t>
      </w:r>
    </w:p>
    <w:p w14:paraId="7519AC95" w14:textId="77777777" w:rsidR="00257E1A" w:rsidRPr="00900F2B" w:rsidRDefault="00257E1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0DEEB06" w14:textId="63559E42" w:rsidR="001655A0" w:rsidRPr="00900F2B" w:rsidRDefault="00900F2B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total budget for 2017 is 14,183.7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="001655A0" w:rsidRPr="00900F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EB04DE" w14:textId="74031373" w:rsidR="001655A0" w:rsidRPr="00900F2B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11 857.4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by the Fund received in </w:t>
      </w:r>
      <w:proofErr w:type="gram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900F2B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3D26A1A0" w14:textId="0D24BF65" w:rsidR="001655A0" w:rsidRPr="00900F2B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2 326.3 million </w:t>
      </w:r>
      <w:proofErr w:type="spellStart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="00900F2B"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by the Fund received in the 1st quarter of 2018</w:t>
      </w:r>
    </w:p>
    <w:p w14:paraId="0E133D09" w14:textId="246072BC" w:rsidR="001655A0" w:rsidRPr="00900F2B" w:rsidRDefault="00900F2B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Eurasian Bank JSC made an early repayment of undeveloped funds in 2017 </w:t>
      </w:r>
      <w:proofErr w:type="gramStart"/>
      <w:r w:rsidRPr="00900F2B">
        <w:rPr>
          <w:rFonts w:ascii="Times New Roman" w:hAnsi="Times New Roman" w:cs="Times New Roman"/>
          <w:sz w:val="24"/>
          <w:szCs w:val="24"/>
          <w:lang w:val="en-US"/>
        </w:rPr>
        <w:t>in the amount of 801 million</w:t>
      </w:r>
      <w:proofErr w:type="gram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in August 2018, in connection with which the Fund was forced to re-allocate these funds in 2018.</w:t>
      </w:r>
    </w:p>
    <w:p w14:paraId="131947CE" w14:textId="42E30409" w:rsidR="00371083" w:rsidRPr="00900F2B" w:rsidRDefault="00900F2B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To date, funds in 2017 </w:t>
      </w:r>
      <w:proofErr w:type="gramStart"/>
      <w:r w:rsidRPr="00900F2B">
        <w:rPr>
          <w:rFonts w:ascii="Times New Roman" w:hAnsi="Times New Roman" w:cs="Times New Roman"/>
          <w:sz w:val="24"/>
          <w:szCs w:val="24"/>
          <w:lang w:val="en-US"/>
        </w:rPr>
        <w:t>have been fully utilized</w:t>
      </w:r>
      <w:proofErr w:type="gramEnd"/>
      <w:r w:rsidRPr="00900F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AA33E9" w14:textId="77777777" w:rsidR="0002429F" w:rsidRPr="00900F2B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41F748" w14:textId="664A7135" w:rsidR="00371083" w:rsidRPr="00900F2B" w:rsidRDefault="00900F2B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>Current situation of unallocated funds</w:t>
      </w:r>
    </w:p>
    <w:p w14:paraId="03B85D20" w14:textId="77777777" w:rsidR="00371083" w:rsidRPr="00900F2B" w:rsidRDefault="00371083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9518A" w14:textId="64C07A64" w:rsidR="00EB33A1" w:rsidRPr="00900F2B" w:rsidRDefault="00900F2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The total amount of funds allocated (placed and approved for placement) in 2019 is 12,524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 (97% of the received funds in 2019).</w:t>
      </w:r>
    </w:p>
    <w:p w14:paraId="761A0ED2" w14:textId="77777777" w:rsidR="00EF5A39" w:rsidRPr="00900F2B" w:rsidRDefault="00EF5A39" w:rsidP="0031025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B77983" w14:textId="25E7CFD5" w:rsidR="006C3513" w:rsidRPr="00900F2B" w:rsidRDefault="00900F2B" w:rsidP="0031025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Information by regions by means of 2019 available and approved for placement (in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3"/>
        <w:gridCol w:w="2509"/>
        <w:gridCol w:w="1470"/>
        <w:gridCol w:w="1146"/>
        <w:gridCol w:w="222"/>
        <w:gridCol w:w="1572"/>
        <w:gridCol w:w="1969"/>
      </w:tblGrid>
      <w:tr w:rsidR="00C95972" w:rsidRPr="009511EC" w14:paraId="4F8F7481" w14:textId="77777777" w:rsidTr="00900F2B">
        <w:trPr>
          <w:trHeight w:val="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DBA" w14:textId="77777777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8249" w14:textId="0572EACA" w:rsidR="00C95972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Region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554" w14:textId="40D636F8" w:rsidR="00C95972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Received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funds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(MIO + RB)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9439" w14:textId="77777777" w:rsidR="002F2A06" w:rsidRPr="009511EC" w:rsidRDefault="002F2A06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5EDE781" w14:textId="1B4F6D02" w:rsidR="00C95972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Placed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STB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42748" w14:textId="5CFDF6B2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645" w14:textId="650B3481" w:rsidR="00C95972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Approved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accommodation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4DF" w14:textId="0BB2FA4C" w:rsidR="00C95972" w:rsidRPr="009511EC" w:rsidRDefault="00900F2B" w:rsidP="002F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Retained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balance</w:t>
            </w:r>
            <w:proofErr w:type="spellEnd"/>
            <w:r w:rsidR="00C95972"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0F2B" w:rsidRPr="009511EC" w14:paraId="21956C94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C5E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6462" w14:textId="6D67234F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Nur-Sultan</w:t>
            </w:r>
            <w:proofErr w:type="spellEnd"/>
            <w:r w:rsidRPr="00CD4648">
              <w:t xml:space="preserve"> (</w:t>
            </w:r>
            <w:proofErr w:type="spellStart"/>
            <w:r w:rsidRPr="00CD4648">
              <w:t>Astana</w:t>
            </w:r>
            <w:proofErr w:type="spellEnd"/>
            <w:r w:rsidRPr="00CD4648"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C1A" w14:textId="64528999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BEC8" w14:textId="02826F15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892,02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B56C1" w14:textId="62D6F55C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E346" w14:textId="191E14E6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640" w14:textId="1F0F3F22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6535009B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FD2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851F" w14:textId="49E1D337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Almaty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city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DD96" w14:textId="318D5D6D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1 082,37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69C6" w14:textId="5F567A2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1 082,37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5809C" w14:textId="0497023C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AFD6" w14:textId="56D741DA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79B" w14:textId="3B9F7CE9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1CEE26F3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858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C03B" w14:textId="3BA2EC78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Akmola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697" w14:textId="6F0018E5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2F05" w14:textId="4E751769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974,81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EA5F6" w14:textId="3F0FB0B0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DBB3" w14:textId="54FE48D2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864" w14:textId="24A97E7B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0536F8B0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89A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6238" w14:textId="389A5B0C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Aktobe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500" w14:textId="221D397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3977" w14:textId="68437DB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1 191,55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3094D" w14:textId="33EABFE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75DA" w14:textId="3E5C87B1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8C5" w14:textId="040C219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3791E5DB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77A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E5B" w14:textId="30BA0F0F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Almaty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D7F" w14:textId="3EF49C56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5EFE" w14:textId="6ABFFC48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218,49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37D89" w14:textId="289672AF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5577" w14:textId="522A3C25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864" w14:textId="071BF9D3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2CE74171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EDE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E275" w14:textId="2F202277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Atyrau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D6D" w14:textId="2C05FB15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646,27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577D" w14:textId="088A5544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646,27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F35EA" w14:textId="3EDB11B0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703B" w14:textId="1F9B7B74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4E8" w14:textId="118A8A02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401B4DD6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AE0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2082" w14:textId="173C6EFA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East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Kazakhstan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2F6" w14:textId="0D3A20C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C894" w14:textId="17F94EA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931,61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B39D8" w14:textId="0D234C5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4B3F" w14:textId="4EB354CF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E98" w14:textId="61282E8B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11A5AAFB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4E1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7949" w14:textId="5E46BD7C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Jambyl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E93" w14:textId="55E83574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7CAC" w14:textId="023E7A26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1 036,60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A95DC" w14:textId="69FF8BDD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1B11" w14:textId="580ED222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099" w14:textId="3C8EF330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1590E400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A28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2222" w14:textId="6348E264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West-Kazakhstan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5A2" w14:textId="616223D5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597,32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50E9" w14:textId="1396A5D6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597,32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A7830" w14:textId="66AC8EB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541" w14:textId="5E122B62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A70" w14:textId="4D4F0358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51D1249E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A78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1FD1" w14:textId="7B4BC225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Karaganda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972" w14:textId="2B778899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866,52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B122" w14:textId="53F730C8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866,52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AEDD0" w14:textId="78E8BE3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78D5" w14:textId="57562395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9D8" w14:textId="304DB6A0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56B4930B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05F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7795" w14:textId="2D36514F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Kostanay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E9F" w14:textId="1AD782BA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15AC" w14:textId="121C5FC4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363,06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02432" w14:textId="2E5614C8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7E64" w14:textId="7ADD04B2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9FF" w14:textId="2AE42D49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545BAB2A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ACE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CA90" w14:textId="240B3B8F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Kyzylorda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51B" w14:textId="2A151F4F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6CCB" w14:textId="45764F82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299,49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30659" w14:textId="2F14393C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888" w14:textId="57878CE8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3F8" w14:textId="2D46F2AF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0578C819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3B54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F3E3" w14:textId="270831E5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Mangistau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44C" w14:textId="5FE88FDB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699,27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8452" w14:textId="17F64B14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699,27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C5D10" w14:textId="172E71D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705E" w14:textId="4F01ED42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7F0" w14:textId="40D4D94D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67798BD8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9F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7275" w14:textId="3BDAC054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Pavlodar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9CE" w14:textId="752BDF19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2906" w14:textId="635B85E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542,67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374D3" w14:textId="062B2C9D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F944" w14:textId="19F8E19A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65F" w14:textId="02B464C2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63B960C1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C70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BEE6" w14:textId="79114956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North-Kazakhstan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212" w14:textId="30F8382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9C69" w14:textId="59BF0260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695,05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8390D" w14:textId="6141A88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E153" w14:textId="481AB5AF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D40" w14:textId="15603F56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5C8FBC21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A84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1433" w14:textId="142D2979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Shymkent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819" w14:textId="0F777F69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163A" w14:textId="7A13E8E1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618,08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FB1EA" w14:textId="1FDC3FAA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FC64" w14:textId="229D507F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2D8" w14:textId="19396918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0F2B" w:rsidRPr="009511EC" w14:paraId="77CB943D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8A8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9044" w14:textId="513588A3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Turkestan</w:t>
            </w:r>
            <w:proofErr w:type="spellEnd"/>
            <w:r w:rsidRPr="00CD4648">
              <w:t xml:space="preserve"> </w:t>
            </w:r>
            <w:proofErr w:type="spellStart"/>
            <w:r w:rsidRPr="00CD4648">
              <w:t>region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320" w14:textId="49D6A2F6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1 203,08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AF3C" w14:textId="0E22B38A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868,08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69E2E" w14:textId="42F8951F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C4F9" w14:textId="7CDAC81D" w:rsidR="00900F2B" w:rsidRPr="006F7B80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FD5" w14:textId="64DD25F1" w:rsidR="00900F2B" w:rsidRPr="009511EC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335,00</w:t>
            </w:r>
          </w:p>
        </w:tc>
      </w:tr>
      <w:tr w:rsidR="00900F2B" w:rsidRPr="009511EC" w14:paraId="668855DE" w14:textId="77777777" w:rsidTr="00900F2B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DB9" w14:textId="77777777" w:rsidR="00900F2B" w:rsidRPr="009511EC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DBE6" w14:textId="440BB5CC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48">
              <w:t>Total</w:t>
            </w:r>
            <w:proofErr w:type="spellEnd"/>
            <w:r w:rsidRPr="00CD4648"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A4B" w14:textId="2BA3E1F6" w:rsidR="00900F2B" w:rsidRPr="006A5C68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12 859,25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00134" w14:textId="30E48544" w:rsidR="00900F2B" w:rsidRPr="0008489A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12 523,25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126F9" w14:textId="51B87CFE" w:rsidR="00900F2B" w:rsidRPr="002F29D4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A84" w14:textId="45AAEA60" w:rsidR="00900F2B" w:rsidRPr="00580E7B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2EE" w14:textId="0191CD15" w:rsidR="00900F2B" w:rsidRPr="002F29D4" w:rsidRDefault="00900F2B" w:rsidP="00900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335,0</w:t>
            </w:r>
          </w:p>
        </w:tc>
      </w:tr>
    </w:tbl>
    <w:p w14:paraId="17530496" w14:textId="77777777" w:rsidR="00371083" w:rsidRPr="009511EC" w:rsidRDefault="00371083" w:rsidP="00B929B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3A749" w14:textId="77777777" w:rsidR="005A4120" w:rsidRDefault="005A4120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</w:rPr>
      </w:pPr>
    </w:p>
    <w:p w14:paraId="46958F95" w14:textId="74D8DE7B" w:rsidR="000408DA" w:rsidRPr="00900F2B" w:rsidRDefault="00900F2B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b/>
          <w:sz w:val="24"/>
          <w:szCs w:val="24"/>
          <w:lang w:val="en-US"/>
        </w:rPr>
        <w:t>Information on the implementation of the program by year by region</w:t>
      </w:r>
    </w:p>
    <w:p w14:paraId="1B425D50" w14:textId="77777777" w:rsidR="006F05BF" w:rsidRPr="00900F2B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B22ED4" w14:textId="24D8B0F0" w:rsidR="00B929B1" w:rsidRPr="00900F2B" w:rsidRDefault="00900F2B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Information on supported projects in 2019, taking into account the disbursement of funds for 2018 (in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3403"/>
        <w:gridCol w:w="1560"/>
        <w:gridCol w:w="1416"/>
        <w:gridCol w:w="1416"/>
        <w:gridCol w:w="1416"/>
      </w:tblGrid>
      <w:tr w:rsidR="00D2282C" w:rsidRPr="009511EC" w14:paraId="02870E53" w14:textId="77777777" w:rsidTr="00CC41C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65F0C055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Region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526E9C02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Financing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40305EE3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</w:t>
            </w:r>
            <w:proofErr w:type="spellEnd"/>
          </w:p>
        </w:tc>
      </w:tr>
      <w:tr w:rsidR="00D2282C" w:rsidRPr="009511EC" w14:paraId="01A0E1A6" w14:textId="77777777" w:rsidTr="00CC41CA">
        <w:trPr>
          <w:trHeight w:val="20"/>
          <w:jc w:val="center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3771C47E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borrowers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50E8F9AA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19B1EF38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5877C27" w:rsidR="00D2282C" w:rsidRPr="009511EC" w:rsidRDefault="00900F2B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</w:tr>
      <w:tr w:rsidR="00900F2B" w:rsidRPr="002F29D4" w14:paraId="7A4B6D1C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FD55CE" w14:textId="5911DBF8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Nur-Sultan</w:t>
            </w:r>
            <w:proofErr w:type="spellEnd"/>
            <w:r w:rsidRPr="00463497">
              <w:t xml:space="preserve"> (</w:t>
            </w:r>
            <w:proofErr w:type="spellStart"/>
            <w:r w:rsidRPr="00463497">
              <w:t>Astana</w:t>
            </w:r>
            <w:proofErr w:type="spellEnd"/>
            <w:r w:rsidRPr="00463497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71A9" w14:textId="742E6B2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415" w14:textId="3573D39F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946" w14:textId="38ED5786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5DA" w14:textId="2A39B072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437,30</w:t>
            </w:r>
          </w:p>
        </w:tc>
      </w:tr>
      <w:tr w:rsidR="00900F2B" w:rsidRPr="002F29D4" w14:paraId="15C108FA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5C12F" w14:textId="6E6D0ADE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city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0537" w14:textId="4EDFA082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9FD" w14:textId="2923BEB8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2 376,29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2CA" w14:textId="6F648F1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E17" w14:textId="200E3793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127,49</w:t>
            </w:r>
          </w:p>
        </w:tc>
      </w:tr>
      <w:tr w:rsidR="00900F2B" w:rsidRPr="002F29D4" w14:paraId="65117E3B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21286" w14:textId="03694711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Akmola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5EE4" w14:textId="6A87FD0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437" w14:textId="2CDA64D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E7B1" w14:textId="544B6675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8D9" w14:textId="6BE8A95D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353,79</w:t>
            </w:r>
          </w:p>
        </w:tc>
      </w:tr>
      <w:tr w:rsidR="00900F2B" w:rsidRPr="002F29D4" w14:paraId="505DDDCC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491F2" w14:textId="12CFDDD6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Aktobe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DC0F" w14:textId="4C70F6A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210" w14:textId="6A690F5F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1 387,70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7F9" w14:textId="03D3FA1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BDC" w14:textId="03325AC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322,67</w:t>
            </w:r>
          </w:p>
        </w:tc>
      </w:tr>
      <w:tr w:rsidR="00900F2B" w:rsidRPr="002F29D4" w14:paraId="086AB913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2C416" w14:textId="74ECC080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45D4" w14:textId="4CA74F9A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495" w14:textId="705B649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54E" w14:textId="2A9E04C2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E9F" w14:textId="4DC57092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128,84</w:t>
            </w:r>
          </w:p>
        </w:tc>
      </w:tr>
      <w:tr w:rsidR="00900F2B" w:rsidRPr="002F29D4" w14:paraId="6F50FBC7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AC32E" w14:textId="6A35B756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Atyrau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  <w:r w:rsidRPr="00463497"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74CF" w14:textId="21C9286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C6A" w14:textId="6028754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ADE" w14:textId="036D5C48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2E4" w14:textId="036EC1B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900F2B" w:rsidRPr="002F29D4" w14:paraId="30884525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7EC85" w14:textId="48E82A34" w:rsidR="00900F2B" w:rsidRPr="00900F2B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EKR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5B18" w14:textId="7923864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B14" w14:textId="6D1A30B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C32" w14:textId="6DB2B75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43" w14:textId="02CA6905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260,19</w:t>
            </w:r>
          </w:p>
        </w:tc>
      </w:tr>
      <w:tr w:rsidR="00900F2B" w:rsidRPr="002F29D4" w14:paraId="332E4028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1754E" w14:textId="1A3CCC4F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Jambyl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1B82" w14:textId="6B78FD4D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2E7" w14:textId="0DA089ED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1 480,64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83D" w14:textId="65C343D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193" w14:textId="146CCA3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335,21</w:t>
            </w:r>
          </w:p>
        </w:tc>
      </w:tr>
      <w:tr w:rsidR="00900F2B" w:rsidRPr="002F29D4" w14:paraId="75E6CF21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00A83" w14:textId="4DEDDE5A" w:rsidR="00900F2B" w:rsidRPr="00900F2B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497">
              <w:t>WK</w:t>
            </w:r>
            <w:r>
              <w:rPr>
                <w:lang w:val="en-US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FE1C" w14:textId="129709DD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CB0" w14:textId="18D96AF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F7F1" w14:textId="37A37A71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A12" w14:textId="481D42FD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195,18</w:t>
            </w:r>
          </w:p>
        </w:tc>
      </w:tr>
      <w:tr w:rsidR="00900F2B" w:rsidRPr="002F29D4" w14:paraId="6B896597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526D8" w14:textId="4555BFAD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Karaganda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EEA2" w14:textId="04EF118F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F3D" w14:textId="17D54450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E73" w14:textId="7EB4C41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312" w14:textId="16128CC2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900F2B" w:rsidRPr="002F29D4" w14:paraId="0A4782D2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B39B6" w14:textId="7B587B30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Kostanay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A54C" w14:textId="045862D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EEE" w14:textId="14DAECB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FEE" w14:textId="2995BC23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B2A" w14:textId="154E3C85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203,61</w:t>
            </w:r>
          </w:p>
        </w:tc>
      </w:tr>
      <w:tr w:rsidR="00900F2B" w:rsidRPr="002F29D4" w14:paraId="3DA52E38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26FBA" w14:textId="6244F719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Kyzylorda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30AC" w14:textId="1B5CEDB6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B4C" w14:textId="545CC28F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344" w14:textId="12762A73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DAF" w14:textId="7AEB3D3E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77,88</w:t>
            </w:r>
          </w:p>
        </w:tc>
      </w:tr>
      <w:tr w:rsidR="00900F2B" w:rsidRPr="002F29D4" w14:paraId="68752059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E44D" w14:textId="44509F00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Mangistau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1C2A" w14:textId="03FAAB44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7F4" w14:textId="1B7A2256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4D88" w14:textId="742A2A9B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37D8" w14:textId="02C36D9F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190,58</w:t>
            </w:r>
          </w:p>
        </w:tc>
      </w:tr>
      <w:tr w:rsidR="00900F2B" w:rsidRPr="002F29D4" w14:paraId="117E53F6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6F016" w14:textId="1E1FF3EA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Pavlodar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8290" w14:textId="5DF57AA6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0D8" w14:textId="1B1757C0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2D6" w14:textId="28CD3BA8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9D1" w14:textId="2C41E3F7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190,33</w:t>
            </w:r>
          </w:p>
        </w:tc>
      </w:tr>
      <w:tr w:rsidR="00900F2B" w:rsidRPr="002F29D4" w14:paraId="3D27FF05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7BE36" w14:textId="7AAFC25A" w:rsidR="00900F2B" w:rsidRPr="00900F2B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</w:t>
            </w:r>
            <w:r w:rsidRPr="00463497">
              <w:t>K</w:t>
            </w:r>
            <w:r>
              <w:rPr>
                <w:lang w:val="en-US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0026" w14:textId="0C3D34A4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62D" w14:textId="174ACD20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0E" w14:textId="232404F0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69" w14:textId="63EB7C25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157,40</w:t>
            </w:r>
          </w:p>
        </w:tc>
      </w:tr>
      <w:tr w:rsidR="00900F2B" w:rsidRPr="002F29D4" w14:paraId="4D612D89" w14:textId="77777777" w:rsidTr="00900F2B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F4978" w14:textId="625A26D8" w:rsidR="00900F2B" w:rsidRPr="009511EC" w:rsidRDefault="00900F2B" w:rsidP="00900F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497">
              <w:t>Shymkent</w:t>
            </w:r>
            <w:proofErr w:type="spellEnd"/>
            <w:r w:rsidRPr="00463497">
              <w:t xml:space="preserve">, </w:t>
            </w:r>
            <w:proofErr w:type="spellStart"/>
            <w:r w:rsidRPr="00463497">
              <w:t>Turkestan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5497" w14:textId="7E17DD9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015" w14:textId="4E684D79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1731,761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2E3D8F" w14:textId="0267B877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FC47F4" w14:textId="3AA2DDD8" w:rsidR="00900F2B" w:rsidRPr="002548D4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320,36</w:t>
            </w:r>
          </w:p>
        </w:tc>
      </w:tr>
      <w:tr w:rsidR="00900F2B" w:rsidRPr="002F29D4" w14:paraId="00FFF58D" w14:textId="77777777" w:rsidTr="00900F2B">
        <w:trPr>
          <w:trHeight w:val="20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C56BB" w14:textId="564F00F5" w:rsidR="00900F2B" w:rsidRPr="009511EC" w:rsidRDefault="00900F2B" w:rsidP="0090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Total</w:t>
            </w:r>
            <w:proofErr w:type="spellEnd"/>
            <w:r w:rsidRPr="00463497">
              <w:t>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F02" w14:textId="12FBC151" w:rsidR="00900F2B" w:rsidRPr="00752F81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015" w14:textId="624EC160" w:rsidR="00900F2B" w:rsidRPr="00752F81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215,39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99EF4" w14:textId="5A4BEBF7" w:rsidR="00900F2B" w:rsidRPr="00752F81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3A864" w14:textId="2CD77FCE" w:rsidR="00900F2B" w:rsidRPr="00752F81" w:rsidRDefault="00900F2B" w:rsidP="0090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3 647,34</w:t>
            </w:r>
          </w:p>
        </w:tc>
      </w:tr>
    </w:tbl>
    <w:p w14:paraId="16A614C1" w14:textId="77777777" w:rsidR="006A3DE7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p w14:paraId="466B3A1A" w14:textId="022E0BF1" w:rsidR="00580E7B" w:rsidRPr="00900F2B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gramStart"/>
      <w:r w:rsidR="00900F2B" w:rsidRPr="00900F2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900F2B" w:rsidRPr="00900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excess of the number of guarantees over the number of loans is associated with the guarantee during the secondary development of the placed funds in 2017-2018.</w:t>
      </w:r>
    </w:p>
    <w:p w14:paraId="04A5C987" w14:textId="77777777" w:rsidR="00371083" w:rsidRPr="00900F2B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730F551" w14:textId="2A4529E3" w:rsidR="00120810" w:rsidRPr="00900F2B" w:rsidRDefault="00900F2B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2B">
        <w:rPr>
          <w:rFonts w:ascii="Times New Roman" w:hAnsi="Times New Roman" w:cs="Times New Roman"/>
          <w:sz w:val="24"/>
          <w:szCs w:val="24"/>
          <w:lang w:val="en-US"/>
        </w:rPr>
        <w:t xml:space="preserve">Information on supported projects in 2018, taking into account the utilization of funds in 2017 (in million </w:t>
      </w:r>
      <w:proofErr w:type="spellStart"/>
      <w:r w:rsidRPr="00900F2B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900F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3226"/>
        <w:gridCol w:w="1584"/>
        <w:gridCol w:w="1437"/>
        <w:gridCol w:w="1446"/>
        <w:gridCol w:w="1371"/>
      </w:tblGrid>
      <w:tr w:rsidR="00D2282C" w:rsidRPr="009511EC" w14:paraId="5B79D222" w14:textId="77777777" w:rsidTr="00D2282C">
        <w:trPr>
          <w:trHeight w:val="20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03E2" w14:textId="50D11D66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Region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EAE" w14:textId="7A591775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Financing</w:t>
            </w:r>
            <w:proofErr w:type="spell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A10" w14:textId="0E801B9F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</w:t>
            </w:r>
            <w:proofErr w:type="spellEnd"/>
          </w:p>
        </w:tc>
      </w:tr>
      <w:tr w:rsidR="00D2282C" w:rsidRPr="009511EC" w14:paraId="00F313BE" w14:textId="77777777" w:rsidTr="00D2282C">
        <w:trPr>
          <w:trHeight w:val="20"/>
          <w:jc w:val="center"/>
        </w:trPr>
        <w:tc>
          <w:tcPr>
            <w:tcW w:w="3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F58E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1E3F2" w14:textId="1A3A4202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borrowers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688D" w14:textId="35040BF1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8E17" w14:textId="1E936FEC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guarantees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9EB" w14:textId="06C9E3BE" w:rsidR="00D2282C" w:rsidRPr="009511EC" w:rsidRDefault="00900F2B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</w:tr>
      <w:tr w:rsidR="00394B13" w:rsidRPr="009511EC" w14:paraId="59A90462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490B8F" w14:textId="751587AC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Nur-Sultan</w:t>
            </w:r>
            <w:proofErr w:type="spellEnd"/>
            <w:r w:rsidRPr="00463497">
              <w:t xml:space="preserve"> (</w:t>
            </w:r>
            <w:proofErr w:type="spellStart"/>
            <w:r w:rsidRPr="00463497">
              <w:t>Astana</w:t>
            </w:r>
            <w:proofErr w:type="spellEnd"/>
            <w:r w:rsidRPr="00463497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D34E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8F7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A3D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5B1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394B13" w:rsidRPr="009511EC" w14:paraId="0D5D6CE5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9FAD1" w14:textId="460AB50F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city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0E40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D6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7FB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3D0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180.6</w:t>
            </w:r>
          </w:p>
        </w:tc>
      </w:tr>
      <w:tr w:rsidR="00394B13" w:rsidRPr="009511EC" w14:paraId="317BE994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752E0" w14:textId="20052707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Akmola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325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59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383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55F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303.8</w:t>
            </w:r>
          </w:p>
        </w:tc>
      </w:tr>
      <w:tr w:rsidR="00394B13" w:rsidRPr="009511EC" w14:paraId="616C6D70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CAE7A" w14:textId="08CC9DAB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Aktobe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64B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8EA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6790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085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181.2</w:t>
            </w:r>
          </w:p>
        </w:tc>
      </w:tr>
      <w:tr w:rsidR="00394B13" w:rsidRPr="009511EC" w14:paraId="441F5451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F4E7C" w14:textId="42A1E5E3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BAF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B3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208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114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</w:tr>
      <w:tr w:rsidR="00394B13" w:rsidRPr="009511EC" w14:paraId="44B3534B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26F83" w14:textId="21E6690C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Atyrau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  <w:r w:rsidRPr="00463497"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9E0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72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CAD6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7CD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180.0</w:t>
            </w:r>
          </w:p>
        </w:tc>
      </w:tr>
      <w:tr w:rsidR="00394B13" w:rsidRPr="009511EC" w14:paraId="1836BA50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F4282" w14:textId="285664CB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EKR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477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DE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674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6A7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182.9</w:t>
            </w:r>
          </w:p>
        </w:tc>
      </w:tr>
      <w:tr w:rsidR="00394B13" w:rsidRPr="009511EC" w14:paraId="2BF5BE44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63E32" w14:textId="72FEC0FA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Jambyl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C14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F9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2C8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5BF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200.2</w:t>
            </w:r>
          </w:p>
        </w:tc>
      </w:tr>
      <w:tr w:rsidR="00394B13" w:rsidRPr="009511EC" w14:paraId="2F3625F5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0FEB6" w14:textId="147359BA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497">
              <w:t>WK</w:t>
            </w:r>
            <w:r>
              <w:rPr>
                <w:lang w:val="en-US"/>
              </w:rPr>
              <w:t>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54F3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B70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960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835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255.1</w:t>
            </w:r>
          </w:p>
        </w:tc>
      </w:tr>
      <w:tr w:rsidR="00394B13" w:rsidRPr="009511EC" w14:paraId="239328D3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AF10F" w14:textId="1F2B6BC8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Karaganda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AA1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FF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D77A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254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110.8</w:t>
            </w:r>
          </w:p>
        </w:tc>
      </w:tr>
      <w:tr w:rsidR="00394B13" w:rsidRPr="009511EC" w14:paraId="23555E4D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1E3F1" w14:textId="2C3BBCFF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Kostanay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84B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5D7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50C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DFF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188.1</w:t>
            </w:r>
          </w:p>
        </w:tc>
      </w:tr>
      <w:tr w:rsidR="00394B13" w:rsidRPr="009511EC" w14:paraId="37FDED77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F79B4" w14:textId="29BBA620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Kyzylorda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BE0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2B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113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60E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</w:tr>
      <w:tr w:rsidR="00394B13" w:rsidRPr="009511EC" w14:paraId="469BEECC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BBCC2" w14:textId="31B609C8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Mangistau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1FB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78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E55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DAA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176.2</w:t>
            </w:r>
          </w:p>
        </w:tc>
      </w:tr>
      <w:tr w:rsidR="00394B13" w:rsidRPr="009511EC" w14:paraId="47DA3D0B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4DAAE" w14:textId="76D6E70A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Pavlodar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257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C4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19A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F04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173.3</w:t>
            </w:r>
          </w:p>
        </w:tc>
      </w:tr>
      <w:tr w:rsidR="00394B13" w:rsidRPr="009511EC" w14:paraId="137744B3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4B9FF" w14:textId="6757BC7D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N</w:t>
            </w:r>
            <w:r w:rsidRPr="00463497">
              <w:t>K</w:t>
            </w:r>
            <w:r>
              <w:rPr>
                <w:lang w:val="en-US"/>
              </w:rPr>
              <w:t>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2DC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3DC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763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E6E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80.2</w:t>
            </w:r>
          </w:p>
        </w:tc>
      </w:tr>
      <w:tr w:rsidR="00394B13" w:rsidRPr="009511EC" w14:paraId="3900BA16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34883" w14:textId="56AC1FC5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Shymkent</w:t>
            </w:r>
            <w:proofErr w:type="spellEnd"/>
            <w:r w:rsidRPr="00463497">
              <w:t xml:space="preserve">, </w:t>
            </w:r>
            <w:proofErr w:type="spellStart"/>
            <w:r w:rsidRPr="00463497">
              <w:t>Turkestan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C05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2B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BE0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4B0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290.3</w:t>
            </w:r>
          </w:p>
        </w:tc>
      </w:tr>
      <w:tr w:rsidR="00394B13" w:rsidRPr="009511EC" w14:paraId="3672C1D6" w14:textId="77777777" w:rsidTr="00BA6A2D">
        <w:trPr>
          <w:trHeight w:val="2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FAB77" w14:textId="065A0DAC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Total</w:t>
            </w:r>
            <w:proofErr w:type="spellEnd"/>
            <w:r w:rsidRPr="00463497">
              <w:t>: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ED63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E43A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14 395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C692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BB099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2870.9</w:t>
            </w:r>
          </w:p>
        </w:tc>
      </w:tr>
    </w:tbl>
    <w:p w14:paraId="6B8309ED" w14:textId="274E8BA0" w:rsidR="00371083" w:rsidRPr="00394B13" w:rsidRDefault="00371083" w:rsidP="00371083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4B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gramStart"/>
      <w:r w:rsidR="00394B13" w:rsidRPr="00394B1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394B13" w:rsidRPr="00394B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excess of the number of guarantees over the number of loans is associated with a guarantee during the secondary development of the placed funds in 2017.</w:t>
      </w:r>
    </w:p>
    <w:p w14:paraId="1D20CB7A" w14:textId="77777777" w:rsidR="007C5E5F" w:rsidRPr="00394B13" w:rsidRDefault="007C5E5F" w:rsidP="007C5E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D722A" w14:textId="68001225" w:rsidR="003F53A8" w:rsidRPr="00394B13" w:rsidRDefault="00394B13" w:rsidP="003F53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94B13">
        <w:rPr>
          <w:rFonts w:ascii="Times New Roman" w:hAnsi="Times New Roman" w:cs="Times New Roman"/>
          <w:sz w:val="24"/>
          <w:szCs w:val="24"/>
          <w:lang w:val="en-US"/>
        </w:rPr>
        <w:t xml:space="preserve">Information on supported projects in 2017 (in million </w:t>
      </w:r>
      <w:proofErr w:type="spellStart"/>
      <w:r w:rsidRPr="00394B13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394B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3251"/>
        <w:gridCol w:w="1559"/>
        <w:gridCol w:w="1559"/>
        <w:gridCol w:w="1417"/>
        <w:gridCol w:w="1418"/>
      </w:tblGrid>
      <w:tr w:rsidR="00D2282C" w:rsidRPr="00B929B1" w14:paraId="09F0053F" w14:textId="77777777" w:rsidTr="00371083">
        <w:trPr>
          <w:trHeight w:val="2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67FB" w14:textId="739CBA0C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Region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0743" w14:textId="5FC040FD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Financing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193" w14:textId="678DC3E5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</w:t>
            </w:r>
            <w:proofErr w:type="spellEnd"/>
          </w:p>
        </w:tc>
      </w:tr>
      <w:tr w:rsidR="00D2282C" w:rsidRPr="00B929B1" w14:paraId="5CFF0B6C" w14:textId="77777777" w:rsidTr="00371083">
        <w:trPr>
          <w:trHeight w:val="20"/>
          <w:jc w:val="center"/>
        </w:trPr>
        <w:tc>
          <w:tcPr>
            <w:tcW w:w="3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60AA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31DBA" w14:textId="04F2D927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borrowers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54D8" w14:textId="29D10AAD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813" w14:textId="6EB2DCA8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guarantees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74A" w14:textId="4EBA3A06" w:rsidR="00D2282C" w:rsidRPr="009511EC" w:rsidRDefault="00394B13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</w:tr>
      <w:tr w:rsidR="00394B13" w:rsidRPr="00B929B1" w14:paraId="110B7CB3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60A66" w14:textId="63A0F12C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Nur-Sultan</w:t>
            </w:r>
            <w:proofErr w:type="spellEnd"/>
            <w:r w:rsidRPr="00463497">
              <w:t xml:space="preserve"> (</w:t>
            </w:r>
            <w:proofErr w:type="spellStart"/>
            <w:r w:rsidRPr="00463497">
              <w:t>Astana</w:t>
            </w:r>
            <w:proofErr w:type="spellEnd"/>
            <w:r w:rsidRPr="0046349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9AE9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BD6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0F24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9FA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</w:t>
            </w:r>
          </w:p>
        </w:tc>
      </w:tr>
      <w:tr w:rsidR="00394B13" w:rsidRPr="00B929B1" w14:paraId="68999DF4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B86E5" w14:textId="2E527611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city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A49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1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5C3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A71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41.8</w:t>
            </w:r>
          </w:p>
        </w:tc>
      </w:tr>
      <w:tr w:rsidR="00394B13" w:rsidRPr="00B929B1" w14:paraId="24DCA063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D84DC" w14:textId="0158AE22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Akmola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E95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E1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440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4C30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53.6</w:t>
            </w:r>
          </w:p>
        </w:tc>
      </w:tr>
      <w:tr w:rsidR="00394B13" w:rsidRPr="00B929B1" w14:paraId="4DB9DFD7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1AC5D" w14:textId="6AB15828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Aktobe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40A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55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0AB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EA6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66.4</w:t>
            </w:r>
          </w:p>
        </w:tc>
      </w:tr>
      <w:tr w:rsidR="00394B13" w:rsidRPr="00B929B1" w14:paraId="671773FA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D1431" w14:textId="1B8F57C7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Almaty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9AE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85FA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924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5C9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</w:tr>
      <w:tr w:rsidR="00394B13" w:rsidRPr="00B929B1" w14:paraId="45FA0328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93256" w14:textId="299C91AE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Atyrau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  <w:r w:rsidRPr="00463497"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D20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6A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421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11E0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</w:t>
            </w:r>
          </w:p>
        </w:tc>
      </w:tr>
      <w:tr w:rsidR="00394B13" w:rsidRPr="00B929B1" w14:paraId="20B8B89E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7DEBD" w14:textId="2DBB402B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EKR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BDE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DBC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938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103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</w:tr>
      <w:tr w:rsidR="00394B13" w:rsidRPr="00B929B1" w14:paraId="7D456A71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F466F" w14:textId="32BC143B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Jambyl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03A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2F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0CAC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C235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</w:tr>
      <w:tr w:rsidR="00394B13" w:rsidRPr="00B929B1" w14:paraId="73CE692A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17213" w14:textId="47B10476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497">
              <w:t>WK</w:t>
            </w:r>
            <w:r>
              <w:rPr>
                <w:lang w:val="en-US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3B0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286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5FC0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371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76.2</w:t>
            </w:r>
          </w:p>
        </w:tc>
      </w:tr>
      <w:tr w:rsidR="00394B13" w:rsidRPr="00B929B1" w14:paraId="19EF45A9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56658" w14:textId="7536E837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Karaganda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21F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04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52A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C5F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</w:tr>
      <w:tr w:rsidR="00394B13" w:rsidRPr="00B929B1" w14:paraId="05A3A02C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02F54" w14:textId="3ECBB435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Kostanay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4F3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5B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FA6C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D74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</w:tr>
      <w:tr w:rsidR="00394B13" w:rsidRPr="00B929B1" w14:paraId="01DD49FC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47D5E" w14:textId="02F6BB87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Kyzylorda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60A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E67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4550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DEF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</w:tr>
      <w:tr w:rsidR="00394B13" w:rsidRPr="00B929B1" w14:paraId="13AD6B89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BF355" w14:textId="5A4CE7D3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Mangistau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D2DB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74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F87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DF4E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</w:t>
            </w:r>
          </w:p>
        </w:tc>
      </w:tr>
      <w:tr w:rsidR="00394B13" w:rsidRPr="00B929B1" w14:paraId="6F7C1C07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32315" w14:textId="1D95C152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Pavlodar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E54D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A6F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EEC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5AD2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91.8</w:t>
            </w:r>
          </w:p>
        </w:tc>
      </w:tr>
      <w:tr w:rsidR="00394B13" w:rsidRPr="00B929B1" w14:paraId="39B80DEC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C2E8F" w14:textId="768D3D8A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N</w:t>
            </w:r>
            <w:r w:rsidRPr="00463497">
              <w:t>K</w:t>
            </w:r>
            <w:r>
              <w:rPr>
                <w:lang w:val="en-US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DABA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C9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5DA4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61A7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</w:tr>
      <w:tr w:rsidR="00394B13" w:rsidRPr="00B929B1" w14:paraId="527569D0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AF0CC" w14:textId="50E1B4FA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Shymkent</w:t>
            </w:r>
            <w:proofErr w:type="spellEnd"/>
            <w:r w:rsidRPr="00463497">
              <w:t xml:space="preserve">, </w:t>
            </w:r>
            <w:proofErr w:type="spellStart"/>
            <w:r w:rsidRPr="00463497">
              <w:t>Turkestan</w:t>
            </w:r>
            <w:proofErr w:type="spellEnd"/>
            <w:r w:rsidRPr="00463497">
              <w:t xml:space="preserve"> </w:t>
            </w:r>
            <w:proofErr w:type="spellStart"/>
            <w:r w:rsidRPr="00463497">
              <w:t>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A8B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4F8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B715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61D1" w14:textId="77777777" w:rsidR="00394B13" w:rsidRPr="009511EC" w:rsidRDefault="00394B13" w:rsidP="0039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</w:t>
            </w:r>
          </w:p>
        </w:tc>
      </w:tr>
      <w:tr w:rsidR="00394B13" w:rsidRPr="00B929B1" w14:paraId="7AAC55C0" w14:textId="77777777" w:rsidTr="008B1273">
        <w:trPr>
          <w:trHeight w:val="2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3710" w14:textId="62C9702D" w:rsidR="00394B13" w:rsidRPr="009511EC" w:rsidRDefault="00394B13" w:rsidP="0039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497">
              <w:t>Total</w:t>
            </w:r>
            <w:proofErr w:type="spellEnd"/>
            <w:r w:rsidRPr="00463497"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4D3C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9CA57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A459BF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3F50A" w14:textId="77777777" w:rsidR="00394B13" w:rsidRPr="009511EC" w:rsidRDefault="00394B13" w:rsidP="00394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959.7</w:t>
            </w:r>
          </w:p>
        </w:tc>
      </w:tr>
    </w:tbl>
    <w:p w14:paraId="40628DC7" w14:textId="77777777" w:rsidR="007C5E5F" w:rsidRDefault="007C5E5F" w:rsidP="007C5E5F">
      <w:pPr>
        <w:spacing w:after="0"/>
        <w:jc w:val="both"/>
        <w:rPr>
          <w:sz w:val="24"/>
          <w:szCs w:val="24"/>
        </w:rPr>
      </w:pPr>
    </w:p>
    <w:sectPr w:rsidR="007C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320BE"/>
    <w:rsid w:val="0003756C"/>
    <w:rsid w:val="000408DA"/>
    <w:rsid w:val="00040B04"/>
    <w:rsid w:val="0007636A"/>
    <w:rsid w:val="00083A10"/>
    <w:rsid w:val="0008489A"/>
    <w:rsid w:val="00085A78"/>
    <w:rsid w:val="000860D2"/>
    <w:rsid w:val="000B008E"/>
    <w:rsid w:val="000F3FF3"/>
    <w:rsid w:val="001044E1"/>
    <w:rsid w:val="00120810"/>
    <w:rsid w:val="001364D2"/>
    <w:rsid w:val="00154565"/>
    <w:rsid w:val="001564F8"/>
    <w:rsid w:val="00160484"/>
    <w:rsid w:val="001655A0"/>
    <w:rsid w:val="00191FCF"/>
    <w:rsid w:val="001A3A94"/>
    <w:rsid w:val="001B0E1F"/>
    <w:rsid w:val="001D0F9F"/>
    <w:rsid w:val="0022253C"/>
    <w:rsid w:val="00235320"/>
    <w:rsid w:val="002439B8"/>
    <w:rsid w:val="00250583"/>
    <w:rsid w:val="002548D4"/>
    <w:rsid w:val="00257E1A"/>
    <w:rsid w:val="00264459"/>
    <w:rsid w:val="00267E18"/>
    <w:rsid w:val="002710C1"/>
    <w:rsid w:val="002B1AB5"/>
    <w:rsid w:val="002D4CA1"/>
    <w:rsid w:val="002F0DA6"/>
    <w:rsid w:val="002F29D4"/>
    <w:rsid w:val="002F2A06"/>
    <w:rsid w:val="00310253"/>
    <w:rsid w:val="003368E7"/>
    <w:rsid w:val="00345966"/>
    <w:rsid w:val="00364824"/>
    <w:rsid w:val="003673C8"/>
    <w:rsid w:val="00371083"/>
    <w:rsid w:val="003755F4"/>
    <w:rsid w:val="00394B13"/>
    <w:rsid w:val="003C225F"/>
    <w:rsid w:val="003F53A8"/>
    <w:rsid w:val="00414E8F"/>
    <w:rsid w:val="00433F38"/>
    <w:rsid w:val="00443E00"/>
    <w:rsid w:val="00453C8C"/>
    <w:rsid w:val="0048006E"/>
    <w:rsid w:val="004A718C"/>
    <w:rsid w:val="004C2297"/>
    <w:rsid w:val="004D2374"/>
    <w:rsid w:val="004D3CAF"/>
    <w:rsid w:val="00504B89"/>
    <w:rsid w:val="0055172E"/>
    <w:rsid w:val="00580E7B"/>
    <w:rsid w:val="00591D37"/>
    <w:rsid w:val="005A4120"/>
    <w:rsid w:val="005B0CE7"/>
    <w:rsid w:val="005B434F"/>
    <w:rsid w:val="005B5E9F"/>
    <w:rsid w:val="005C2A5E"/>
    <w:rsid w:val="006721ED"/>
    <w:rsid w:val="00696AF2"/>
    <w:rsid w:val="006A3DE7"/>
    <w:rsid w:val="006A5C68"/>
    <w:rsid w:val="006C3513"/>
    <w:rsid w:val="006F05BF"/>
    <w:rsid w:val="006F0994"/>
    <w:rsid w:val="006F7B80"/>
    <w:rsid w:val="00704416"/>
    <w:rsid w:val="007423A9"/>
    <w:rsid w:val="00747FD4"/>
    <w:rsid w:val="00752F81"/>
    <w:rsid w:val="00757909"/>
    <w:rsid w:val="00773FA2"/>
    <w:rsid w:val="00776308"/>
    <w:rsid w:val="007C5E5F"/>
    <w:rsid w:val="007D5D8B"/>
    <w:rsid w:val="00814100"/>
    <w:rsid w:val="00883E7D"/>
    <w:rsid w:val="00885F0A"/>
    <w:rsid w:val="008C2934"/>
    <w:rsid w:val="00900F2B"/>
    <w:rsid w:val="00905750"/>
    <w:rsid w:val="009149E1"/>
    <w:rsid w:val="00931896"/>
    <w:rsid w:val="009511EC"/>
    <w:rsid w:val="00967276"/>
    <w:rsid w:val="009B17C8"/>
    <w:rsid w:val="009F6B84"/>
    <w:rsid w:val="00A0055E"/>
    <w:rsid w:val="00A04959"/>
    <w:rsid w:val="00A344DD"/>
    <w:rsid w:val="00A5664C"/>
    <w:rsid w:val="00A70570"/>
    <w:rsid w:val="00A829C6"/>
    <w:rsid w:val="00A85A35"/>
    <w:rsid w:val="00AA54B3"/>
    <w:rsid w:val="00AE27DE"/>
    <w:rsid w:val="00AE648F"/>
    <w:rsid w:val="00AE7D6D"/>
    <w:rsid w:val="00AF536C"/>
    <w:rsid w:val="00AF5985"/>
    <w:rsid w:val="00B24C32"/>
    <w:rsid w:val="00B4304F"/>
    <w:rsid w:val="00B71239"/>
    <w:rsid w:val="00B82585"/>
    <w:rsid w:val="00B929B1"/>
    <w:rsid w:val="00B93A00"/>
    <w:rsid w:val="00BA56D2"/>
    <w:rsid w:val="00BF3859"/>
    <w:rsid w:val="00C021B2"/>
    <w:rsid w:val="00C0227F"/>
    <w:rsid w:val="00C17DB7"/>
    <w:rsid w:val="00C52FDD"/>
    <w:rsid w:val="00C5461E"/>
    <w:rsid w:val="00C728A4"/>
    <w:rsid w:val="00C73CE7"/>
    <w:rsid w:val="00C95972"/>
    <w:rsid w:val="00CA199F"/>
    <w:rsid w:val="00CA54ED"/>
    <w:rsid w:val="00CB4D26"/>
    <w:rsid w:val="00CC41CA"/>
    <w:rsid w:val="00CD3B02"/>
    <w:rsid w:val="00CD41EE"/>
    <w:rsid w:val="00CD7B40"/>
    <w:rsid w:val="00D2282C"/>
    <w:rsid w:val="00D35D1F"/>
    <w:rsid w:val="00D45502"/>
    <w:rsid w:val="00D56F83"/>
    <w:rsid w:val="00D93E1F"/>
    <w:rsid w:val="00DA7BFE"/>
    <w:rsid w:val="00DE3A2A"/>
    <w:rsid w:val="00E43D15"/>
    <w:rsid w:val="00E44AB4"/>
    <w:rsid w:val="00E505E9"/>
    <w:rsid w:val="00E53DB9"/>
    <w:rsid w:val="00E6787D"/>
    <w:rsid w:val="00EB33A1"/>
    <w:rsid w:val="00EB3993"/>
    <w:rsid w:val="00EC4B17"/>
    <w:rsid w:val="00EF5A39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chartTrackingRefBased/>
  <w15:docId w15:val="{2336395C-D4C7-4BAB-83EE-C8AECBD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20C6-60D1-4C14-BE9F-CE1F7AC4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Павел Павел</cp:lastModifiedBy>
  <cp:revision>15</cp:revision>
  <dcterms:created xsi:type="dcterms:W3CDTF">2019-11-27T12:10:00Z</dcterms:created>
  <dcterms:modified xsi:type="dcterms:W3CDTF">2020-03-10T11:26:00Z</dcterms:modified>
</cp:coreProperties>
</file>