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0E" w:rsidRPr="003E2A0E" w:rsidRDefault="00B117DA" w:rsidP="003E2A0E">
      <w:pPr>
        <w:pStyle w:val="a6"/>
        <w:jc w:val="center"/>
        <w:rPr>
          <w:rFonts w:eastAsia="Verdana"/>
          <w:b/>
          <w:color w:val="FF0000"/>
          <w:sz w:val="28"/>
          <w:szCs w:val="28"/>
          <w:lang w:val="kk-KZ"/>
        </w:rPr>
      </w:pPr>
      <w:bookmarkStart w:id="0" w:name="_Toc12368768"/>
      <w:r w:rsidRPr="003E2A0E">
        <w:rPr>
          <w:rFonts w:eastAsia="Verdana"/>
          <w:b/>
          <w:sz w:val="28"/>
          <w:szCs w:val="28"/>
          <w:lang w:val="kk-KZ"/>
        </w:rPr>
        <w:t xml:space="preserve"> </w:t>
      </w:r>
      <w:bookmarkStart w:id="1" w:name="_GoBack"/>
      <w:r w:rsidR="003E2A0E" w:rsidRPr="003E2A0E">
        <w:rPr>
          <w:rFonts w:eastAsia="Verdana"/>
          <w:b/>
          <w:sz w:val="28"/>
          <w:szCs w:val="28"/>
          <w:lang w:val="kk-KZ"/>
        </w:rPr>
        <w:t>«Бәйтерек» ҰБХ»  АҚ Корпоративтік басқару кодексінің қағидаттары мен ережелерін сақтау туралы есеп</w:t>
      </w:r>
      <w:bookmarkEnd w:id="1"/>
    </w:p>
    <w:p w:rsidR="003E2A0E" w:rsidRPr="001A025B" w:rsidRDefault="003E2A0E" w:rsidP="003E2A0E">
      <w:pPr>
        <w:pStyle w:val="a6"/>
        <w:rPr>
          <w:lang w:val="kk-KZ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2126"/>
        <w:gridCol w:w="7655"/>
      </w:tblGrid>
      <w:tr w:rsidR="003E2A0E" w:rsidRPr="00B117DA" w:rsidTr="006C1564">
        <w:tc>
          <w:tcPr>
            <w:tcW w:w="846" w:type="dxa"/>
            <w:shd w:val="clear" w:color="auto" w:fill="A8D08D" w:themeFill="accent6" w:themeFillTint="99"/>
          </w:tcPr>
          <w:p w:rsidR="003E2A0E" w:rsidRPr="001A025B" w:rsidRDefault="003E2A0E" w:rsidP="006C1564">
            <w:pPr>
              <w:jc w:val="center"/>
              <w:rPr>
                <w:b/>
                <w:lang w:val="kk-KZ"/>
              </w:rPr>
            </w:pPr>
            <w:r w:rsidRPr="001A025B">
              <w:rPr>
                <w:b/>
                <w:lang w:val="kk-KZ"/>
              </w:rPr>
              <w:t xml:space="preserve">№ </w:t>
            </w:r>
            <w:r>
              <w:rPr>
                <w:b/>
                <w:lang w:val="kk-KZ"/>
              </w:rPr>
              <w:t>р/с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:rsidR="003E2A0E" w:rsidRPr="001A025B" w:rsidRDefault="003E2A0E" w:rsidP="006C1564">
            <w:pPr>
              <w:jc w:val="center"/>
              <w:rPr>
                <w:b/>
                <w:lang w:val="kk-KZ"/>
              </w:rPr>
            </w:pPr>
          </w:p>
          <w:p w:rsidR="003E2A0E" w:rsidRPr="001A025B" w:rsidRDefault="003E2A0E" w:rsidP="006C156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Холдингтің К</w:t>
            </w:r>
            <w:r w:rsidRPr="00345940">
              <w:rPr>
                <w:b/>
                <w:lang w:val="kk-KZ"/>
              </w:rPr>
              <w:t xml:space="preserve">орпоративтік басқару кодексінің қағидаттары мен ережелері 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3E2A0E" w:rsidRPr="001A025B" w:rsidRDefault="003E2A0E" w:rsidP="006C1564">
            <w:pPr>
              <w:jc w:val="center"/>
              <w:rPr>
                <w:b/>
                <w:lang w:val="kk-KZ"/>
              </w:rPr>
            </w:pPr>
          </w:p>
          <w:p w:rsidR="003E2A0E" w:rsidRDefault="003E2A0E" w:rsidP="006C156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Сақталады/</w:t>
            </w:r>
          </w:p>
          <w:p w:rsidR="003E2A0E" w:rsidRPr="001A025B" w:rsidRDefault="003E2A0E" w:rsidP="006C156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сақталмайды</w:t>
            </w:r>
            <w:r w:rsidRPr="001A025B">
              <w:rPr>
                <w:b/>
                <w:lang w:val="kk-KZ"/>
              </w:rPr>
              <w:t xml:space="preserve"> </w:t>
            </w:r>
          </w:p>
        </w:tc>
        <w:tc>
          <w:tcPr>
            <w:tcW w:w="7655" w:type="dxa"/>
            <w:shd w:val="clear" w:color="auto" w:fill="A8D08D" w:themeFill="accent6" w:themeFillTint="99"/>
          </w:tcPr>
          <w:p w:rsidR="003E2A0E" w:rsidRPr="001A025B" w:rsidRDefault="003E2A0E" w:rsidP="006C1564">
            <w:pPr>
              <w:jc w:val="center"/>
              <w:rPr>
                <w:b/>
                <w:lang w:val="kk-KZ"/>
              </w:rPr>
            </w:pPr>
          </w:p>
          <w:p w:rsidR="003E2A0E" w:rsidRDefault="003E2A0E" w:rsidP="006C1564">
            <w:pPr>
              <w:jc w:val="center"/>
              <w:rPr>
                <w:b/>
                <w:lang w:val="kk-KZ"/>
              </w:rPr>
            </w:pPr>
            <w:r w:rsidRPr="00345940">
              <w:rPr>
                <w:b/>
                <w:lang w:val="kk-KZ"/>
              </w:rPr>
              <w:t>Холдингт</w:t>
            </w:r>
            <w:r>
              <w:rPr>
                <w:b/>
                <w:lang w:val="kk-KZ"/>
              </w:rPr>
              <w:t>ің К</w:t>
            </w:r>
            <w:r w:rsidRPr="00345940">
              <w:rPr>
                <w:b/>
                <w:lang w:val="kk-KZ"/>
              </w:rPr>
              <w:t>орпоративтік басқару кодексінің қағидаттары мен ережелерін іске асыру үшін орындалған іс-шаралар</w:t>
            </w:r>
          </w:p>
          <w:p w:rsidR="003E2A0E" w:rsidRPr="001A025B" w:rsidRDefault="003E2A0E" w:rsidP="006C1564">
            <w:pPr>
              <w:jc w:val="center"/>
              <w:rPr>
                <w:b/>
                <w:lang w:val="kk-KZ"/>
              </w:rPr>
            </w:pPr>
          </w:p>
        </w:tc>
      </w:tr>
      <w:tr w:rsidR="003E2A0E" w:rsidRPr="00B117DA" w:rsidTr="006C1564">
        <w:tc>
          <w:tcPr>
            <w:tcW w:w="846" w:type="dxa"/>
          </w:tcPr>
          <w:p w:rsidR="003E2A0E" w:rsidRPr="001A025B" w:rsidRDefault="003E2A0E" w:rsidP="006C1564">
            <w:pPr>
              <w:jc w:val="center"/>
              <w:rPr>
                <w:lang w:val="kk-KZ"/>
              </w:rPr>
            </w:pPr>
            <w:r w:rsidRPr="001A025B">
              <w:rPr>
                <w:lang w:val="kk-KZ"/>
              </w:rPr>
              <w:t xml:space="preserve">1. </w:t>
            </w:r>
          </w:p>
        </w:tc>
        <w:tc>
          <w:tcPr>
            <w:tcW w:w="4394" w:type="dxa"/>
          </w:tcPr>
          <w:p w:rsidR="003E2A0E" w:rsidRPr="001A025B" w:rsidRDefault="003E2A0E" w:rsidP="006C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Өкілеттіктерді шектеу қағидаты </w:t>
            </w:r>
          </w:p>
        </w:tc>
        <w:tc>
          <w:tcPr>
            <w:tcW w:w="2126" w:type="dxa"/>
          </w:tcPr>
          <w:p w:rsidR="003E2A0E" w:rsidRPr="001A025B" w:rsidRDefault="003E2A0E" w:rsidP="006C15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Сақталады</w:t>
            </w:r>
          </w:p>
        </w:tc>
        <w:tc>
          <w:tcPr>
            <w:tcW w:w="7655" w:type="dxa"/>
          </w:tcPr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kk-KZ"/>
              </w:rPr>
            </w:pPr>
            <w:r w:rsidRPr="009E0269">
              <w:rPr>
                <w:color w:val="000000" w:themeColor="text1"/>
                <w:lang w:val="kk-KZ"/>
              </w:rPr>
              <w:t xml:space="preserve">Холдингтің корпоративтік басқару жүйесі </w:t>
            </w:r>
            <w:r>
              <w:rPr>
                <w:color w:val="000000" w:themeColor="text1"/>
                <w:lang w:val="kk-KZ"/>
              </w:rPr>
              <w:t>к</w:t>
            </w:r>
            <w:r w:rsidRPr="009E0269">
              <w:rPr>
                <w:color w:val="000000" w:themeColor="text1"/>
                <w:lang w:val="kk-KZ"/>
              </w:rPr>
              <w:t xml:space="preserve">орпоративтік басқару процестерінің жүйелілігі мен </w:t>
            </w:r>
            <w:r>
              <w:rPr>
                <w:color w:val="000000" w:themeColor="text1"/>
                <w:lang w:val="kk-KZ"/>
              </w:rPr>
              <w:t>дәйектілігін қамтамасыз ететін Х</w:t>
            </w:r>
            <w:r w:rsidRPr="009E0269">
              <w:rPr>
                <w:color w:val="000000" w:themeColor="text1"/>
                <w:lang w:val="kk-KZ"/>
              </w:rPr>
              <w:t>олдинг органдары арасындағы өкілеттіктер мен жауапкершіліктің нақты аражігін ажыратуды көздейді. Холдингтің корпоративтік басқару жүйесі мәселелерді қарау және оның органдарының шешімдер қабылдау тәртібі иерархияс</w:t>
            </w:r>
            <w:r>
              <w:rPr>
                <w:color w:val="000000" w:themeColor="text1"/>
                <w:lang w:val="kk-KZ"/>
              </w:rPr>
              <w:t>ының сақталуын қамтамасыз етеді</w:t>
            </w:r>
            <w:r w:rsidRPr="001A025B">
              <w:rPr>
                <w:color w:val="000000" w:themeColor="text1"/>
                <w:lang w:val="kk-KZ"/>
              </w:rPr>
              <w:t xml:space="preserve">. 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kk-KZ"/>
              </w:rPr>
            </w:pPr>
            <w:r w:rsidRPr="009E0269">
              <w:rPr>
                <w:color w:val="000000" w:themeColor="text1"/>
                <w:lang w:val="kk-KZ"/>
              </w:rPr>
              <w:t>Жалғыз акционердің, Директорлар кеңесінің және Басқарманың құқықтары, міндеттері мен құзыреті АҚ туралы Заңмен, Холдинг Жарғысымен және Директорлар кеңесінің шешімімен бекітілген Директорлар кеңес</w:t>
            </w:r>
            <w:r>
              <w:rPr>
                <w:color w:val="000000" w:themeColor="text1"/>
                <w:lang w:val="kk-KZ"/>
              </w:rPr>
              <w:t>і туралы Ережемен және Холдинг Б</w:t>
            </w:r>
            <w:r w:rsidRPr="009E0269">
              <w:rPr>
                <w:color w:val="000000" w:themeColor="text1"/>
                <w:lang w:val="kk-KZ"/>
              </w:rPr>
              <w:t>асқарм</w:t>
            </w:r>
            <w:r>
              <w:rPr>
                <w:color w:val="000000" w:themeColor="text1"/>
                <w:lang w:val="kk-KZ"/>
              </w:rPr>
              <w:t>асы туралы Ережемен айқындалады</w:t>
            </w:r>
            <w:r w:rsidRPr="001A025B">
              <w:rPr>
                <w:color w:val="000000" w:themeColor="text1"/>
                <w:lang w:val="kk-KZ"/>
              </w:rPr>
              <w:t xml:space="preserve">. </w:t>
            </w:r>
          </w:p>
          <w:p w:rsidR="003E2A0E" w:rsidRPr="00F40462" w:rsidRDefault="003E2A0E" w:rsidP="006C1564">
            <w:pPr>
              <w:ind w:firstLine="317"/>
              <w:jc w:val="both"/>
              <w:rPr>
                <w:color w:val="000000"/>
                <w:lang w:val="kk-KZ"/>
              </w:rPr>
            </w:pPr>
            <w:r w:rsidRPr="00F40462">
              <w:rPr>
                <w:color w:val="000000"/>
                <w:lang w:val="kk-KZ"/>
              </w:rPr>
              <w:t>Жалғыз акционер және Холдинг, оның еншілес ұйымдары арасындағы өзара қарым-қатынастар (өзара іс-қимыл) тиісті корпоративтік басқару қағидаттарына сәйкес Директорлар кеңесі және/немесе Холдинг басқармасы арқылы жүзеге асырылады. Холдингтің Директорлар Кеңесі төрағасының және Басқарма Төрағасының рөлі мен функциялары Холдингтің Жарғысында және Холдингтің ішкі құжаттарында нақты ажыратылып, бекітілген</w:t>
            </w:r>
            <w:r w:rsidRPr="001A025B">
              <w:rPr>
                <w:color w:val="000000"/>
                <w:lang w:val="kk-KZ"/>
              </w:rPr>
              <w:t>.</w:t>
            </w:r>
          </w:p>
        </w:tc>
      </w:tr>
      <w:tr w:rsidR="003E2A0E" w:rsidRPr="00B117DA" w:rsidTr="006C1564">
        <w:tc>
          <w:tcPr>
            <w:tcW w:w="846" w:type="dxa"/>
          </w:tcPr>
          <w:p w:rsidR="003E2A0E" w:rsidRPr="001A025B" w:rsidRDefault="003E2A0E" w:rsidP="006C1564">
            <w:pPr>
              <w:jc w:val="center"/>
              <w:rPr>
                <w:lang w:val="kk-KZ"/>
              </w:rPr>
            </w:pPr>
            <w:r w:rsidRPr="001A025B">
              <w:rPr>
                <w:lang w:val="kk-KZ"/>
              </w:rPr>
              <w:t>2.</w:t>
            </w:r>
          </w:p>
        </w:tc>
        <w:tc>
          <w:tcPr>
            <w:tcW w:w="4394" w:type="dxa"/>
          </w:tcPr>
          <w:p w:rsidR="003E2A0E" w:rsidRDefault="003E2A0E" w:rsidP="006C1564">
            <w:pPr>
              <w:tabs>
                <w:tab w:val="left" w:pos="1418"/>
              </w:tabs>
              <w:jc w:val="both"/>
              <w:rPr>
                <w:lang w:val="kk-KZ"/>
              </w:rPr>
            </w:pPr>
            <w:r w:rsidRPr="001D3235">
              <w:rPr>
                <w:lang w:val="kk-KZ"/>
              </w:rPr>
              <w:t xml:space="preserve">Жалғыз акционердің құқықтары мен мүдделерін қорғау қағидаты </w:t>
            </w:r>
          </w:p>
          <w:p w:rsidR="003E2A0E" w:rsidRPr="001A025B" w:rsidRDefault="003E2A0E" w:rsidP="006C1564">
            <w:pPr>
              <w:tabs>
                <w:tab w:val="left" w:pos="1418"/>
              </w:tabs>
              <w:jc w:val="both"/>
              <w:rPr>
                <w:lang w:val="kk-KZ"/>
              </w:rPr>
            </w:pPr>
          </w:p>
        </w:tc>
        <w:tc>
          <w:tcPr>
            <w:tcW w:w="2126" w:type="dxa"/>
          </w:tcPr>
          <w:p w:rsidR="003E2A0E" w:rsidRPr="001A025B" w:rsidRDefault="003E2A0E" w:rsidP="006C15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Сақталады</w:t>
            </w:r>
          </w:p>
        </w:tc>
        <w:tc>
          <w:tcPr>
            <w:tcW w:w="7655" w:type="dxa"/>
          </w:tcPr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F40462">
              <w:rPr>
                <w:color w:val="000000"/>
                <w:lang w:val="kk-KZ"/>
              </w:rPr>
              <w:t xml:space="preserve">Жалғыз акционердің құқықтарын сақтау </w:t>
            </w:r>
            <w:r>
              <w:rPr>
                <w:color w:val="000000"/>
                <w:lang w:val="kk-KZ"/>
              </w:rPr>
              <w:t>Х</w:t>
            </w:r>
            <w:r w:rsidRPr="00F40462">
              <w:rPr>
                <w:color w:val="000000"/>
                <w:lang w:val="kk-KZ"/>
              </w:rPr>
              <w:t>олдингке және оның еншілес ұйымдарына инвестициялар тарту ү</w:t>
            </w:r>
            <w:r>
              <w:rPr>
                <w:color w:val="000000"/>
                <w:lang w:val="kk-KZ"/>
              </w:rPr>
              <w:t>шін негізгі шарт болып табылады</w:t>
            </w:r>
            <w:r w:rsidRPr="001A025B">
              <w:rPr>
                <w:color w:val="000000"/>
                <w:lang w:val="kk-KZ"/>
              </w:rPr>
              <w:t xml:space="preserve">.  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D70EB6">
              <w:rPr>
                <w:color w:val="000000"/>
                <w:lang w:val="kk-KZ"/>
              </w:rPr>
              <w:t xml:space="preserve">Директорлар кеңесі туралы Ереженің 1-тарауының 2-тармағына сәйкес Директорлар кеңесінің қызметі тиімділік пен жауапкершілік, Жалғыз акционер мен Холдингтің мүдделерін барынша сақтау және іске асыру, сондай-ақ Жалғыз </w:t>
            </w:r>
            <w:r>
              <w:rPr>
                <w:color w:val="000000"/>
                <w:lang w:val="kk-KZ"/>
              </w:rPr>
              <w:t>акционердің құқықтарын қорғау, Х</w:t>
            </w:r>
            <w:r w:rsidRPr="00D70EB6">
              <w:rPr>
                <w:color w:val="000000"/>
                <w:lang w:val="kk-KZ"/>
              </w:rPr>
              <w:t>олдинг қызметі үшін жауапкер</w:t>
            </w:r>
            <w:r>
              <w:rPr>
                <w:color w:val="000000"/>
                <w:lang w:val="kk-KZ"/>
              </w:rPr>
              <w:t>шілік қағидаттарына негізделеді</w:t>
            </w:r>
            <w:r w:rsidRPr="001A025B">
              <w:rPr>
                <w:color w:val="000000"/>
                <w:lang w:val="kk-KZ"/>
              </w:rPr>
              <w:t>.</w:t>
            </w:r>
          </w:p>
          <w:p w:rsidR="003E2A0E" w:rsidRPr="0001439C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01439C">
              <w:rPr>
                <w:color w:val="000000"/>
                <w:lang w:val="kk-KZ"/>
              </w:rPr>
              <w:lastRenderedPageBreak/>
              <w:t>Басқ</w:t>
            </w:r>
            <w:r>
              <w:rPr>
                <w:color w:val="000000"/>
                <w:lang w:val="kk-KZ"/>
              </w:rPr>
              <w:t>арма туралы Ереженің 1-тарауының</w:t>
            </w:r>
            <w:r w:rsidRPr="0001439C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1.4-тармағына сәйкес,</w:t>
            </w:r>
            <w:r w:rsidRPr="0001439C">
              <w:rPr>
                <w:color w:val="000000"/>
                <w:lang w:val="kk-KZ"/>
              </w:rPr>
              <w:t xml:space="preserve"> Басқарма Холдингтің алқалы атқарушы органы болып табылады және оның ағымдағы қызметіне басшылықты жүзеге асырады, Холдинг пен оның </w:t>
            </w:r>
            <w:r>
              <w:rPr>
                <w:color w:val="000000"/>
                <w:lang w:val="kk-KZ"/>
              </w:rPr>
              <w:t>Ж</w:t>
            </w:r>
            <w:r w:rsidRPr="0001439C">
              <w:rPr>
                <w:color w:val="000000"/>
                <w:lang w:val="kk-KZ"/>
              </w:rPr>
              <w:t xml:space="preserve">алғыз акционерінің мүддесінде әрекет етеді және соңғысына және Холдингтің Директорлар кеңесіне есеп береді. 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01439C">
              <w:rPr>
                <w:color w:val="000000"/>
                <w:lang w:val="kk-KZ"/>
              </w:rPr>
              <w:t>Холдинг Жалғыз акционердің назарына Жарғыда және ішкі құжаттарда көзделген тәртіппен Жалғыз акционердің мүдделерін қозғайтын өз қызметі туралы ақпаратты уақтылы және толық көлемде жеткізеді</w:t>
            </w:r>
            <w:r w:rsidRPr="001A025B">
              <w:rPr>
                <w:color w:val="000000"/>
                <w:lang w:val="kk-KZ"/>
              </w:rPr>
              <w:t xml:space="preserve">. </w:t>
            </w:r>
          </w:p>
        </w:tc>
      </w:tr>
      <w:tr w:rsidR="003E2A0E" w:rsidRPr="00B117DA" w:rsidTr="006C1564">
        <w:tc>
          <w:tcPr>
            <w:tcW w:w="846" w:type="dxa"/>
          </w:tcPr>
          <w:p w:rsidR="003E2A0E" w:rsidRPr="001A025B" w:rsidRDefault="003E2A0E" w:rsidP="006C1564">
            <w:pPr>
              <w:jc w:val="center"/>
              <w:rPr>
                <w:lang w:val="kk-KZ"/>
              </w:rPr>
            </w:pPr>
            <w:r w:rsidRPr="001A025B">
              <w:rPr>
                <w:lang w:val="kk-KZ"/>
              </w:rPr>
              <w:lastRenderedPageBreak/>
              <w:t>3.</w:t>
            </w:r>
          </w:p>
        </w:tc>
        <w:tc>
          <w:tcPr>
            <w:tcW w:w="4394" w:type="dxa"/>
          </w:tcPr>
          <w:p w:rsidR="003E2A0E" w:rsidRDefault="003E2A0E" w:rsidP="006C1564">
            <w:pPr>
              <w:tabs>
                <w:tab w:val="left" w:pos="1418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1D3235">
              <w:rPr>
                <w:lang w:val="kk-KZ"/>
              </w:rPr>
              <w:t>Бәйтерек</w:t>
            </w:r>
            <w:r>
              <w:rPr>
                <w:lang w:val="kk-KZ"/>
              </w:rPr>
              <w:t xml:space="preserve">» </w:t>
            </w:r>
            <w:r w:rsidRPr="001D3235">
              <w:rPr>
                <w:lang w:val="kk-KZ"/>
              </w:rPr>
              <w:t>ҰБХ</w:t>
            </w:r>
            <w:r>
              <w:rPr>
                <w:lang w:val="kk-KZ"/>
              </w:rPr>
              <w:t>»</w:t>
            </w:r>
            <w:r w:rsidRPr="001D3235">
              <w:rPr>
                <w:lang w:val="kk-KZ"/>
              </w:rPr>
              <w:t xml:space="preserve"> АҚ Директорлар кеңесі мен басқарманы тиімді басқару қағидаты </w:t>
            </w:r>
          </w:p>
          <w:p w:rsidR="003E2A0E" w:rsidRPr="001A025B" w:rsidRDefault="003E2A0E" w:rsidP="006C1564">
            <w:pPr>
              <w:tabs>
                <w:tab w:val="left" w:pos="1418"/>
              </w:tabs>
              <w:jc w:val="both"/>
              <w:rPr>
                <w:lang w:val="kk-KZ"/>
              </w:rPr>
            </w:pPr>
          </w:p>
        </w:tc>
        <w:tc>
          <w:tcPr>
            <w:tcW w:w="2126" w:type="dxa"/>
          </w:tcPr>
          <w:p w:rsidR="003E2A0E" w:rsidRPr="001A025B" w:rsidRDefault="003E2A0E" w:rsidP="006C15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Сақталады</w:t>
            </w:r>
          </w:p>
        </w:tc>
        <w:tc>
          <w:tcPr>
            <w:tcW w:w="7655" w:type="dxa"/>
          </w:tcPr>
          <w:p w:rsidR="003E2A0E" w:rsidRPr="00B46D50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B46D50">
              <w:rPr>
                <w:color w:val="000000"/>
                <w:lang w:val="kk-KZ"/>
              </w:rPr>
              <w:t>Директорлар кеңесі Холдинг</w:t>
            </w:r>
            <w:r>
              <w:rPr>
                <w:color w:val="000000"/>
                <w:lang w:val="kk-KZ"/>
              </w:rPr>
              <w:t>ке</w:t>
            </w:r>
            <w:r w:rsidRPr="00B46D50">
              <w:rPr>
                <w:color w:val="000000"/>
                <w:lang w:val="kk-KZ"/>
              </w:rPr>
              <w:t xml:space="preserve"> стратегиялық бас</w:t>
            </w:r>
            <w:r>
              <w:rPr>
                <w:color w:val="000000"/>
                <w:lang w:val="kk-KZ"/>
              </w:rPr>
              <w:t>шылық етуді</w:t>
            </w:r>
            <w:r w:rsidRPr="00B46D50">
              <w:rPr>
                <w:color w:val="000000"/>
                <w:lang w:val="kk-KZ"/>
              </w:rPr>
              <w:t xml:space="preserve"> және Басқарма қызметін бақылауды қамтамасыз ететін басқару органы болы</w:t>
            </w:r>
            <w:r>
              <w:rPr>
                <w:color w:val="000000"/>
                <w:lang w:val="kk-KZ"/>
              </w:rPr>
              <w:t>п табылады. Директорлар кеңесі Ж</w:t>
            </w:r>
            <w:r w:rsidRPr="00B46D50">
              <w:rPr>
                <w:color w:val="000000"/>
                <w:lang w:val="kk-KZ"/>
              </w:rPr>
              <w:t xml:space="preserve">алғыз акционер алдында өз қызметінің толық ашықтығын қамтамасыз етеді. 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B46D50">
              <w:rPr>
                <w:color w:val="000000"/>
                <w:lang w:val="kk-KZ"/>
              </w:rPr>
              <w:t>Холдингтің Директорлар кеңесінің құрамы Қазақстан Республикасы заңнамасының талаптарына сәйкес Қазақстан Республикасы Үкіметінің мүшелері, Холдингтің Басқарма Төрағасы, Тәуелсіз директорлар қатарынан құрылған. Директорлар Кеңесінің он мүшесінің үшеуі тәуе</w:t>
            </w:r>
            <w:r>
              <w:rPr>
                <w:color w:val="000000"/>
                <w:lang w:val="kk-KZ"/>
              </w:rPr>
              <w:t>лсіз директорлар болып табылады</w:t>
            </w:r>
            <w:r w:rsidRPr="001A025B">
              <w:rPr>
                <w:color w:val="000000"/>
                <w:lang w:val="kk-KZ"/>
              </w:rPr>
              <w:t xml:space="preserve">. </w:t>
            </w:r>
          </w:p>
          <w:p w:rsidR="003E2A0E" w:rsidRPr="007D591E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7D591E">
              <w:rPr>
                <w:color w:val="000000"/>
                <w:lang w:val="kk-KZ"/>
              </w:rPr>
              <w:t xml:space="preserve">Директорлар кеңесі мен оның комитеттерінде Холдинг мүддесінде тәуелсіз, объективті және тиімді шешімдер қабылдауды қамтамасыз ететін дағдылар, тәжірибе мен білім теңгерімі сақталған. 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Есепті жылы Жалғыз акционер Директорлар к</w:t>
            </w:r>
            <w:r w:rsidRPr="007D591E">
              <w:rPr>
                <w:color w:val="000000"/>
                <w:lang w:val="kk-KZ"/>
              </w:rPr>
              <w:t xml:space="preserve">еңесінің қызметіне бағалау жүргізуге </w:t>
            </w:r>
            <w:r>
              <w:rPr>
                <w:color w:val="000000"/>
                <w:lang w:val="kk-KZ"/>
              </w:rPr>
              <w:t>қатысты шешімдер қабылдаған жоқ</w:t>
            </w:r>
            <w:r w:rsidRPr="001A025B">
              <w:rPr>
                <w:color w:val="000000"/>
                <w:lang w:val="kk-KZ"/>
              </w:rPr>
              <w:t>.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7D591E">
              <w:rPr>
                <w:color w:val="000000"/>
                <w:lang w:val="kk-KZ"/>
              </w:rPr>
              <w:t xml:space="preserve">Директорлар кеңесінің Аудит жөніндегі Комитеті мен </w:t>
            </w:r>
            <w:r>
              <w:rPr>
                <w:color w:val="000000"/>
                <w:lang w:val="kk-KZ"/>
              </w:rPr>
              <w:t>К</w:t>
            </w:r>
            <w:r w:rsidRPr="007D591E">
              <w:rPr>
                <w:color w:val="000000"/>
                <w:lang w:val="kk-KZ"/>
              </w:rPr>
              <w:t xml:space="preserve">адрлар, сыйақылар және әлеуметтік мәселелер жөніндегі комитетінің құрамына Холдингтің тәуелсіз директорлары ғана кіреді. Тәуелсіз директорлар </w:t>
            </w:r>
            <w:r>
              <w:rPr>
                <w:color w:val="000000"/>
                <w:lang w:val="kk-KZ"/>
              </w:rPr>
              <w:t>Директорлар к</w:t>
            </w:r>
            <w:r w:rsidRPr="007D591E">
              <w:rPr>
                <w:color w:val="000000"/>
                <w:lang w:val="kk-KZ"/>
              </w:rPr>
              <w:t>еңесі жанындағы барлық комитеттердің төрағалары</w:t>
            </w:r>
            <w:r>
              <w:rPr>
                <w:color w:val="000000"/>
                <w:lang w:val="kk-KZ"/>
              </w:rPr>
              <w:t>мен сайланған.</w:t>
            </w:r>
            <w:r w:rsidRPr="001A025B">
              <w:rPr>
                <w:color w:val="000000"/>
                <w:lang w:val="kk-KZ"/>
              </w:rPr>
              <w:t xml:space="preserve"> </w:t>
            </w:r>
          </w:p>
          <w:p w:rsidR="003E2A0E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7D591E">
              <w:rPr>
                <w:color w:val="000000"/>
                <w:lang w:val="kk-KZ"/>
              </w:rPr>
              <w:t>Директорлар кеңесінің қызметін тиімді ұйымдастыру және Басқарманың Жалғыз акционермен және Директорлар кеңесімен өзара іс-қимылы мақсатында Директорлар кеңесінің шешімімен Корпоративтік хатшы тағайындалды (Холдингтің корпоративтік хатшысы туралы Ереженің нормаларын ескере отырып, Корпоративтік хатшының міндетін атқарушы болып Қазақстан Республикасы Премьер-Министрі Кеңсесінің басшысы тағайындалды).</w:t>
            </w:r>
          </w:p>
          <w:p w:rsidR="003E2A0E" w:rsidRPr="007D591E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7D591E">
              <w:rPr>
                <w:color w:val="000000"/>
                <w:lang w:val="kk-KZ"/>
              </w:rPr>
              <w:t xml:space="preserve">Іскерлік этика қағидаттарын сақтау, Холдингте туындайтын әлеуметтік-еңбек дауларын оңтайлы реттеу мақсатында Директорлар Кеңесінің 2017 жылғы 24 шілдедегі шешімімен Холдингтің омбудсмені болып Корпоративтік хатшының орынбасары – Корпоративтік хатшы қызметінің басшысы М. Д. Тұрғанова тағайындалды. 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7D591E">
              <w:rPr>
                <w:color w:val="000000"/>
                <w:lang w:val="kk-KZ"/>
              </w:rPr>
              <w:t xml:space="preserve">Холдингтің жұмысын жетілдіруге бағытталған тәуелсіз және объективті кепілдіктер мен консультациялар беру жөніндегі қызмет ретінде </w:t>
            </w:r>
            <w:r>
              <w:rPr>
                <w:color w:val="000000"/>
                <w:lang w:val="kk-KZ"/>
              </w:rPr>
              <w:t>ішкі аудитті жүзеге асыру үшін Ішкі аудит қызметі жұмыс істейді</w:t>
            </w:r>
            <w:r w:rsidRPr="001A025B">
              <w:rPr>
                <w:color w:val="000000"/>
                <w:lang w:val="kk-KZ"/>
              </w:rPr>
              <w:t>.</w:t>
            </w:r>
          </w:p>
        </w:tc>
      </w:tr>
      <w:tr w:rsidR="003E2A0E" w:rsidRPr="00B117DA" w:rsidTr="006C1564">
        <w:tc>
          <w:tcPr>
            <w:tcW w:w="846" w:type="dxa"/>
          </w:tcPr>
          <w:p w:rsidR="003E2A0E" w:rsidRPr="001A025B" w:rsidRDefault="003E2A0E" w:rsidP="006C1564">
            <w:pPr>
              <w:jc w:val="center"/>
              <w:rPr>
                <w:lang w:val="kk-KZ"/>
              </w:rPr>
            </w:pPr>
            <w:r w:rsidRPr="001A025B">
              <w:rPr>
                <w:lang w:val="kk-KZ"/>
              </w:rPr>
              <w:t xml:space="preserve">4. </w:t>
            </w:r>
          </w:p>
        </w:tc>
        <w:tc>
          <w:tcPr>
            <w:tcW w:w="4394" w:type="dxa"/>
          </w:tcPr>
          <w:p w:rsidR="003E2A0E" w:rsidRPr="001A025B" w:rsidRDefault="003E2A0E" w:rsidP="006C1564">
            <w:pPr>
              <w:tabs>
                <w:tab w:val="left" w:pos="1418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Тұрақты даму қағидаты </w:t>
            </w:r>
          </w:p>
        </w:tc>
        <w:tc>
          <w:tcPr>
            <w:tcW w:w="2126" w:type="dxa"/>
          </w:tcPr>
          <w:p w:rsidR="003E2A0E" w:rsidRPr="001A025B" w:rsidRDefault="003E2A0E" w:rsidP="006C15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Сақталады</w:t>
            </w:r>
          </w:p>
        </w:tc>
        <w:tc>
          <w:tcPr>
            <w:tcW w:w="7655" w:type="dxa"/>
          </w:tcPr>
          <w:p w:rsidR="003E2A0E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7D591E">
              <w:rPr>
                <w:color w:val="000000"/>
                <w:lang w:val="kk-KZ"/>
              </w:rPr>
              <w:t xml:space="preserve">Холдинг және оның еншілес ұйымдары мүдделі тараптар мүдделерінің теңгерімін сақтай отырып, ұзақ мерзімді кезеңде орнықты дамуды қамтамасыз ету үшін экономикаға, экологияға және қоғамға өз ықпалының маңыздылығын </w:t>
            </w:r>
            <w:r>
              <w:rPr>
                <w:color w:val="000000"/>
                <w:lang w:val="kk-KZ"/>
              </w:rPr>
              <w:t xml:space="preserve"> түсінеді</w:t>
            </w:r>
            <w:r w:rsidRPr="007D591E">
              <w:rPr>
                <w:color w:val="000000"/>
                <w:lang w:val="kk-KZ"/>
              </w:rPr>
              <w:t>.</w:t>
            </w:r>
          </w:p>
          <w:p w:rsidR="003E2A0E" w:rsidRPr="007D591E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Холдингтің Корпоративтік басқару кодексін орындау аясында Холдингтің Тұрақты даму саясаты бекітілген, сондай-ақ  экономикалық, экологиялық және әлеуметтік аспектілерге бөлумен тұрақты даму қағидатын ендіру бойынша бөлімнен тұратын Холдингтің 2018-2019 жж. Корпоративтік басқаруды жетілдіру бойынша іс-шаралар жоспары бектілген</w:t>
            </w:r>
            <w:r w:rsidRPr="001A025B">
              <w:rPr>
                <w:color w:val="000000" w:themeColor="text1"/>
                <w:lang w:val="kk-KZ"/>
              </w:rPr>
              <w:t>: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1A025B">
              <w:rPr>
                <w:color w:val="000000"/>
                <w:lang w:val="kk-KZ"/>
              </w:rPr>
              <w:t xml:space="preserve">- </w:t>
            </w:r>
            <w:r w:rsidRPr="007D591E">
              <w:rPr>
                <w:color w:val="000000"/>
                <w:lang w:val="kk-KZ"/>
              </w:rPr>
              <w:t>экономикалық құраушы шеңберінде Холдинг тұрақты негізде 2014-2023 жылдарға арналған Холдингтің Даму Стратегиясының, орта мерзімді кезеңге арналған Холдингтің даму жоспарының орындалуына, Холдингтің Басқарма Төрағасы мен мүшелерінің ҚНК карталарының орындалуын бағалау</w:t>
            </w:r>
            <w:r>
              <w:rPr>
                <w:color w:val="000000"/>
                <w:lang w:val="kk-KZ"/>
              </w:rPr>
              <w:t xml:space="preserve">ға </w:t>
            </w:r>
            <w:r w:rsidRPr="007D591E">
              <w:rPr>
                <w:color w:val="000000"/>
                <w:lang w:val="kk-KZ"/>
              </w:rPr>
              <w:t>мониторинг жүргізеді</w:t>
            </w:r>
            <w:r w:rsidRPr="001A025B">
              <w:rPr>
                <w:color w:val="000000"/>
                <w:lang w:val="kk-KZ"/>
              </w:rPr>
              <w:t xml:space="preserve">; </w:t>
            </w:r>
          </w:p>
          <w:p w:rsidR="003E2A0E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kk-KZ"/>
              </w:rPr>
            </w:pPr>
            <w:r w:rsidRPr="001A025B">
              <w:rPr>
                <w:color w:val="000000" w:themeColor="text1"/>
                <w:lang w:val="kk-KZ"/>
              </w:rPr>
              <w:t xml:space="preserve">- </w:t>
            </w:r>
            <w:r w:rsidRPr="007D591E">
              <w:rPr>
                <w:color w:val="000000" w:themeColor="text1"/>
                <w:lang w:val="kk-KZ"/>
              </w:rPr>
              <w:t xml:space="preserve">экологиялық құрамдас бөлік шеңберінде </w:t>
            </w:r>
            <w:r>
              <w:rPr>
                <w:color w:val="000000" w:themeColor="text1"/>
                <w:lang w:val="kk-KZ"/>
              </w:rPr>
              <w:t>Х</w:t>
            </w:r>
            <w:r w:rsidRPr="007D591E">
              <w:rPr>
                <w:color w:val="000000" w:themeColor="text1"/>
                <w:lang w:val="kk-KZ"/>
              </w:rPr>
              <w:t xml:space="preserve">олдингтің жаңа редакциядағы </w:t>
            </w:r>
            <w:r>
              <w:rPr>
                <w:color w:val="000000" w:themeColor="text1"/>
                <w:lang w:val="kk-KZ"/>
              </w:rPr>
              <w:t>И</w:t>
            </w:r>
            <w:r w:rsidRPr="007D591E">
              <w:rPr>
                <w:color w:val="000000" w:themeColor="text1"/>
                <w:lang w:val="kk-KZ"/>
              </w:rPr>
              <w:t>нвестициялық саясаты бекітілді. Бұл ретте оны өзектендіру шеңберінде жобал</w:t>
            </w:r>
            <w:r>
              <w:rPr>
                <w:color w:val="000000" w:themeColor="text1"/>
                <w:lang w:val="kk-KZ"/>
              </w:rPr>
              <w:t>арды бағалау құралы - Д</w:t>
            </w:r>
            <w:r w:rsidRPr="007D591E">
              <w:rPr>
                <w:color w:val="000000" w:themeColor="text1"/>
                <w:lang w:val="kk-KZ"/>
              </w:rPr>
              <w:t>аму индексі енгізілді, оның өлшемдерінің бірі орнықты экономикалық дамуға, оның ішінде экол</w:t>
            </w:r>
            <w:r>
              <w:rPr>
                <w:color w:val="000000" w:themeColor="text1"/>
                <w:lang w:val="kk-KZ"/>
              </w:rPr>
              <w:t>огияға әсер ету болып табылады</w:t>
            </w:r>
            <w:r w:rsidRPr="001A025B">
              <w:rPr>
                <w:color w:val="000000" w:themeColor="text1"/>
                <w:lang w:val="kk-KZ"/>
              </w:rPr>
              <w:t>;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kk-KZ"/>
              </w:rPr>
            </w:pP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kk-KZ"/>
              </w:rPr>
            </w:pPr>
            <w:r w:rsidRPr="001A025B">
              <w:rPr>
                <w:color w:val="000000" w:themeColor="text1"/>
                <w:lang w:val="kk-KZ"/>
              </w:rPr>
              <w:t xml:space="preserve">- </w:t>
            </w:r>
            <w:r w:rsidRPr="007D591E">
              <w:rPr>
                <w:color w:val="000000" w:themeColor="text1"/>
                <w:lang w:val="kk-KZ"/>
              </w:rPr>
              <w:t xml:space="preserve">әлеуметтік құрамдас бөлік шеңберінде Холдинг </w:t>
            </w:r>
            <w:r>
              <w:rPr>
                <w:color w:val="000000" w:themeColor="text1"/>
                <w:lang w:val="kk-KZ"/>
              </w:rPr>
              <w:t>Т</w:t>
            </w:r>
            <w:r w:rsidRPr="007D591E">
              <w:rPr>
                <w:color w:val="000000" w:themeColor="text1"/>
                <w:lang w:val="kk-KZ"/>
              </w:rPr>
              <w:t xml:space="preserve">обының </w:t>
            </w:r>
            <w:r>
              <w:rPr>
                <w:color w:val="000000" w:themeColor="text1"/>
                <w:lang w:val="kk-KZ"/>
              </w:rPr>
              <w:t>Б</w:t>
            </w:r>
            <w:r w:rsidRPr="007D591E">
              <w:rPr>
                <w:color w:val="000000" w:themeColor="text1"/>
                <w:lang w:val="kk-KZ"/>
              </w:rPr>
              <w:t xml:space="preserve">ірыңғай кадрлық саясаты және Холдинг </w:t>
            </w:r>
            <w:r>
              <w:rPr>
                <w:color w:val="000000" w:themeColor="text1"/>
                <w:lang w:val="kk-KZ"/>
              </w:rPr>
              <w:t>Тобының Б</w:t>
            </w:r>
            <w:r w:rsidRPr="007D591E">
              <w:rPr>
                <w:color w:val="000000" w:themeColor="text1"/>
                <w:lang w:val="kk-KZ"/>
              </w:rPr>
              <w:t>ірыңғай кадрлық резервін қалыптастыру және</w:t>
            </w:r>
            <w:r>
              <w:rPr>
                <w:color w:val="000000" w:themeColor="text1"/>
                <w:lang w:val="kk-KZ"/>
              </w:rPr>
              <w:t xml:space="preserve"> дамыту Тұжырымдамасы әзірленді</w:t>
            </w:r>
            <w:r w:rsidRPr="001A025B">
              <w:rPr>
                <w:color w:val="000000" w:themeColor="text1"/>
                <w:lang w:val="kk-KZ"/>
              </w:rPr>
              <w:t xml:space="preserve">. 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6735D4">
              <w:rPr>
                <w:color w:val="000000"/>
                <w:lang w:val="kk-KZ"/>
              </w:rPr>
              <w:t xml:space="preserve">Холдингте мүдделі тараптардың тізбесін, олардың ықпал ету дәрежесін және олармен өзара іс-қимыл стратегиясын айқындайтын </w:t>
            </w:r>
            <w:r>
              <w:rPr>
                <w:color w:val="000000"/>
                <w:lang w:val="kk-KZ"/>
              </w:rPr>
              <w:t>С</w:t>
            </w:r>
            <w:r w:rsidRPr="006735D4">
              <w:rPr>
                <w:color w:val="000000"/>
                <w:lang w:val="kk-KZ"/>
              </w:rPr>
              <w:t>тейкхолдерлердің өз</w:t>
            </w:r>
            <w:r>
              <w:rPr>
                <w:color w:val="000000"/>
                <w:lang w:val="kk-KZ"/>
              </w:rPr>
              <w:t>ектендірілген картасы бекітілді</w:t>
            </w:r>
            <w:r w:rsidRPr="001A025B">
              <w:rPr>
                <w:color w:val="000000"/>
                <w:lang w:val="kk-KZ"/>
              </w:rPr>
              <w:t>.</w:t>
            </w:r>
          </w:p>
        </w:tc>
      </w:tr>
      <w:tr w:rsidR="003E2A0E" w:rsidRPr="001A025B" w:rsidTr="006C1564">
        <w:tc>
          <w:tcPr>
            <w:tcW w:w="846" w:type="dxa"/>
          </w:tcPr>
          <w:p w:rsidR="003E2A0E" w:rsidRPr="001A025B" w:rsidRDefault="003E2A0E" w:rsidP="006C1564">
            <w:pPr>
              <w:jc w:val="center"/>
              <w:rPr>
                <w:lang w:val="kk-KZ"/>
              </w:rPr>
            </w:pPr>
            <w:r w:rsidRPr="001A025B">
              <w:rPr>
                <w:lang w:val="kk-KZ"/>
              </w:rPr>
              <w:t>5.</w:t>
            </w:r>
          </w:p>
        </w:tc>
        <w:tc>
          <w:tcPr>
            <w:tcW w:w="4394" w:type="dxa"/>
          </w:tcPr>
          <w:p w:rsidR="003E2A0E" w:rsidRDefault="003E2A0E" w:rsidP="006C1564">
            <w:pPr>
              <w:tabs>
                <w:tab w:val="left" w:pos="1418"/>
              </w:tabs>
              <w:jc w:val="both"/>
              <w:rPr>
                <w:lang w:val="kk-KZ"/>
              </w:rPr>
            </w:pPr>
            <w:r w:rsidRPr="001D3235">
              <w:rPr>
                <w:lang w:val="kk-KZ"/>
              </w:rPr>
              <w:t xml:space="preserve">Тәуекелдерді басқару, ішкі бақылау және ішкі аудит қағидаты </w:t>
            </w:r>
          </w:p>
          <w:p w:rsidR="003E2A0E" w:rsidRPr="001A025B" w:rsidRDefault="003E2A0E" w:rsidP="006C1564">
            <w:pPr>
              <w:tabs>
                <w:tab w:val="left" w:pos="1418"/>
              </w:tabs>
              <w:jc w:val="both"/>
              <w:rPr>
                <w:lang w:val="kk-KZ"/>
              </w:rPr>
            </w:pPr>
          </w:p>
        </w:tc>
        <w:tc>
          <w:tcPr>
            <w:tcW w:w="2126" w:type="dxa"/>
          </w:tcPr>
          <w:p w:rsidR="003E2A0E" w:rsidRPr="001A025B" w:rsidRDefault="003E2A0E" w:rsidP="006C15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Сақталады</w:t>
            </w:r>
          </w:p>
        </w:tc>
        <w:tc>
          <w:tcPr>
            <w:tcW w:w="7655" w:type="dxa"/>
          </w:tcPr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7C0224">
              <w:rPr>
                <w:color w:val="000000"/>
                <w:lang w:val="kk-KZ"/>
              </w:rPr>
              <w:t>Холдингте Холдингтің өзінің стратегиялық және операциялық мақсаттарына қол жеткізуіне ақылға қонымды сенімді</w:t>
            </w:r>
            <w:r>
              <w:rPr>
                <w:color w:val="000000"/>
                <w:lang w:val="kk-KZ"/>
              </w:rPr>
              <w:t>лікті</w:t>
            </w:r>
            <w:r w:rsidRPr="007C0224">
              <w:rPr>
                <w:color w:val="000000"/>
                <w:lang w:val="kk-KZ"/>
              </w:rPr>
              <w:t xml:space="preserve"> қамтамасыз етуге бағытталған тиімді жұмы</w:t>
            </w:r>
            <w:r>
              <w:rPr>
                <w:color w:val="000000"/>
                <w:lang w:val="kk-KZ"/>
              </w:rPr>
              <w:t>с істейтін</w:t>
            </w:r>
            <w:r w:rsidRPr="007C0224">
              <w:rPr>
                <w:color w:val="000000"/>
                <w:lang w:val="kk-KZ"/>
              </w:rPr>
              <w:t xml:space="preserve"> тәуекелдерді басқару мен ішкі бақылаудың </w:t>
            </w:r>
            <w:r>
              <w:rPr>
                <w:color w:val="000000"/>
                <w:lang w:val="kk-KZ"/>
              </w:rPr>
              <w:t>жүйесі жұмыс істейді</w:t>
            </w:r>
            <w:r w:rsidRPr="001A025B">
              <w:rPr>
                <w:color w:val="000000"/>
                <w:lang w:val="kk-KZ"/>
              </w:rPr>
              <w:t xml:space="preserve">. 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Холдингте Т</w:t>
            </w:r>
            <w:r w:rsidRPr="007C0224">
              <w:rPr>
                <w:color w:val="000000"/>
                <w:lang w:val="kk-KZ"/>
              </w:rPr>
              <w:t>әуекелдерді басқару саясаты жұмыс істейді, оның негізгі мақсаты тиімді кешенді жүйені құру және Холдингтің және еншілес ұйымдардың элементі ретінде тәуекелдерді басқарудың интеграцияланған процесін құру, сондай-ақ тәуекелдерді басқару әдістері мен рәсімдеріне бірыңғай стандартталған тәсіл негізінде қызметті т</w:t>
            </w:r>
            <w:r>
              <w:rPr>
                <w:color w:val="000000"/>
                <w:lang w:val="kk-KZ"/>
              </w:rPr>
              <w:t>ұрақты жетілдіру болып табылады</w:t>
            </w:r>
            <w:r w:rsidRPr="001A025B">
              <w:rPr>
                <w:color w:val="000000"/>
                <w:lang w:val="kk-KZ"/>
              </w:rPr>
              <w:t xml:space="preserve">. 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kk-KZ"/>
              </w:rPr>
            </w:pPr>
            <w:r w:rsidRPr="007C0224">
              <w:rPr>
                <w:color w:val="000000" w:themeColor="text1"/>
                <w:lang w:val="kk-KZ"/>
              </w:rPr>
              <w:t>Холдингтің Директорлар кеңесі тоқсан сайынғы негізде тіркелім, тәуекелдер картасы, тәуекелдерді басқару жөніндегі іс-шаралар жоспары және тәуекелдің негізгі индикаторлары, тәуекел-тәбеті, қол жетімді қаржы ресурстары же</w:t>
            </w:r>
            <w:r>
              <w:rPr>
                <w:color w:val="000000" w:themeColor="text1"/>
                <w:lang w:val="kk-KZ"/>
              </w:rPr>
              <w:t>ткіліктілігінің нақты мәндері, Х</w:t>
            </w:r>
            <w:r w:rsidRPr="007C0224">
              <w:rPr>
                <w:color w:val="000000" w:themeColor="text1"/>
                <w:lang w:val="kk-KZ"/>
              </w:rPr>
              <w:t>олдингтің қаржылық тәуекелдері жөніндегі ақпаратты қамтитын Холдингтің тәуекелдері бойын</w:t>
            </w:r>
            <w:r>
              <w:rPr>
                <w:color w:val="000000" w:themeColor="text1"/>
                <w:lang w:val="kk-KZ"/>
              </w:rPr>
              <w:t>ша есепті қарайды және бекітеді</w:t>
            </w:r>
            <w:r w:rsidRPr="001A025B">
              <w:rPr>
                <w:color w:val="000000" w:themeColor="text1"/>
                <w:lang w:val="kk-KZ"/>
              </w:rPr>
              <w:t xml:space="preserve">. </w:t>
            </w:r>
          </w:p>
          <w:p w:rsidR="003E2A0E" w:rsidRPr="007C0224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7C0224">
              <w:rPr>
                <w:color w:val="000000"/>
                <w:lang w:val="kk-KZ"/>
              </w:rPr>
              <w:t>Тәуекелдерді басқару және ішкі бақылау жүйесінің сенімділігі мен тиімділігіне, сондай-ақ корпоративтік басқару тәжірибесіне жүйелі тәуелсіз бағалау жүргізу үшін Холдингте Ішкі аудит қызметі жұмыс істейді.</w:t>
            </w:r>
          </w:p>
          <w:p w:rsidR="003E2A0E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7C0224">
              <w:rPr>
                <w:color w:val="000000"/>
                <w:lang w:val="kk-KZ"/>
              </w:rPr>
              <w:t xml:space="preserve">Ішкі аудит қызметі тоқсан сайын </w:t>
            </w:r>
            <w:r>
              <w:rPr>
                <w:color w:val="000000"/>
                <w:lang w:val="kk-KZ"/>
              </w:rPr>
              <w:t>А</w:t>
            </w:r>
            <w:r w:rsidRPr="007C0224">
              <w:rPr>
                <w:color w:val="000000"/>
                <w:lang w:val="kk-KZ"/>
              </w:rPr>
              <w:t>удит жөніндегі комитеттің және Холдингтің Директорлар кеңесінің қарауына есепті кезеңде жүргізілген ішкі аудиттің қорытындылары бойынша есептерді шығарады. Анықталған бұзушылықтардың қорытындылары бойынша түзету іс-</w:t>
            </w:r>
            <w:r>
              <w:rPr>
                <w:color w:val="000000"/>
                <w:lang w:val="kk-KZ"/>
              </w:rPr>
              <w:t>әрекеттерінің  жоспарлары бекітіледі</w:t>
            </w:r>
            <w:r w:rsidRPr="001A025B">
              <w:rPr>
                <w:color w:val="000000"/>
                <w:lang w:val="kk-KZ"/>
              </w:rPr>
              <w:t xml:space="preserve">. 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</w:p>
        </w:tc>
      </w:tr>
      <w:tr w:rsidR="003E2A0E" w:rsidRPr="00B117DA" w:rsidTr="006C1564">
        <w:tc>
          <w:tcPr>
            <w:tcW w:w="846" w:type="dxa"/>
          </w:tcPr>
          <w:p w:rsidR="003E2A0E" w:rsidRPr="001A025B" w:rsidRDefault="003E2A0E" w:rsidP="006C1564">
            <w:pPr>
              <w:jc w:val="center"/>
              <w:rPr>
                <w:lang w:val="kk-KZ"/>
              </w:rPr>
            </w:pPr>
            <w:r w:rsidRPr="001A025B">
              <w:rPr>
                <w:lang w:val="kk-KZ"/>
              </w:rPr>
              <w:t>6.</w:t>
            </w:r>
          </w:p>
        </w:tc>
        <w:tc>
          <w:tcPr>
            <w:tcW w:w="4394" w:type="dxa"/>
          </w:tcPr>
          <w:p w:rsidR="003E2A0E" w:rsidRPr="001A025B" w:rsidRDefault="003E2A0E" w:rsidP="006C1564">
            <w:pPr>
              <w:tabs>
                <w:tab w:val="left" w:pos="1418"/>
              </w:tabs>
              <w:jc w:val="both"/>
              <w:rPr>
                <w:lang w:val="kk-KZ"/>
              </w:rPr>
            </w:pPr>
            <w:r w:rsidRPr="00E763AA">
              <w:rPr>
                <w:lang w:val="kk-KZ"/>
              </w:rPr>
              <w:t>Корпоративтік қақтығыстар мен мүдделер қақтығысын реттеу қағидаты</w:t>
            </w:r>
          </w:p>
        </w:tc>
        <w:tc>
          <w:tcPr>
            <w:tcW w:w="2126" w:type="dxa"/>
          </w:tcPr>
          <w:p w:rsidR="003E2A0E" w:rsidRPr="001A025B" w:rsidRDefault="003E2A0E" w:rsidP="006C15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Сақталады</w:t>
            </w:r>
          </w:p>
        </w:tc>
        <w:tc>
          <w:tcPr>
            <w:tcW w:w="7655" w:type="dxa"/>
          </w:tcPr>
          <w:p w:rsidR="003E2A0E" w:rsidRPr="008C2674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kk-KZ"/>
              </w:rPr>
            </w:pPr>
            <w:r w:rsidRPr="008C2674">
              <w:rPr>
                <w:color w:val="000000" w:themeColor="text1"/>
                <w:lang w:val="kk-KZ"/>
              </w:rPr>
              <w:t>Мүдделер қақ</w:t>
            </w:r>
            <w:r>
              <w:rPr>
                <w:color w:val="000000" w:themeColor="text1"/>
                <w:lang w:val="kk-KZ"/>
              </w:rPr>
              <w:t>тығысына жол бермеу Холдингтің Ж</w:t>
            </w:r>
            <w:r w:rsidRPr="008C2674">
              <w:rPr>
                <w:color w:val="000000" w:themeColor="text1"/>
                <w:lang w:val="kk-KZ"/>
              </w:rPr>
              <w:t xml:space="preserve">алғыз акционерінің, Холдингтің Лауазымды тұлғалары мен қызметкерлерінің мүдделерін қорғауды қамтамасыз ету үшін маңызды шарт болып табылады. 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kk-KZ"/>
              </w:rPr>
            </w:pPr>
            <w:r w:rsidRPr="008C2674">
              <w:rPr>
                <w:color w:val="000000" w:themeColor="text1"/>
                <w:lang w:val="kk-KZ"/>
              </w:rPr>
              <w:t xml:space="preserve">Холдингтегі корпоративтік жанжалдар мен мүдделер қақтығысының алдын алу және реттеу, сондай-ақ барлық органдар мен лауазымды тұлғалардың іс-қимылдарын үйлестіру мақсатында Директорлар кеңесі </w:t>
            </w:r>
            <w:r>
              <w:rPr>
                <w:color w:val="000000" w:themeColor="text1"/>
                <w:lang w:val="kk-KZ"/>
              </w:rPr>
              <w:t>К</w:t>
            </w:r>
            <w:r w:rsidRPr="008C2674">
              <w:rPr>
                <w:color w:val="000000" w:themeColor="text1"/>
                <w:lang w:val="kk-KZ"/>
              </w:rPr>
              <w:t>орпоративтік жанжалдар мен мүдделер қақтығысын реттеу жөніндегі саясатты бекітті. Саясат қақтығыстарды сотқа дейінгі реттеу тәртібі мен рәсімдерін, сондай-ақ осы процестер шеңберінде Холдинг органдарының, лауазымды тұлғалары мен қызметкерле</w:t>
            </w:r>
            <w:r>
              <w:rPr>
                <w:color w:val="000000" w:themeColor="text1"/>
                <w:lang w:val="kk-KZ"/>
              </w:rPr>
              <w:t>рінің іс-қимылын регламенттейді</w:t>
            </w:r>
            <w:r w:rsidRPr="001A025B">
              <w:rPr>
                <w:color w:val="000000" w:themeColor="text1"/>
                <w:lang w:val="kk-KZ"/>
              </w:rPr>
              <w:t xml:space="preserve">. </w:t>
            </w:r>
          </w:p>
          <w:p w:rsidR="003E2A0E" w:rsidRPr="008C2674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kk-KZ"/>
              </w:rPr>
            </w:pPr>
            <w:r w:rsidRPr="008C2674">
              <w:rPr>
                <w:color w:val="000000" w:themeColor="text1"/>
                <w:lang w:val="kk-KZ"/>
              </w:rPr>
              <w:t xml:space="preserve">Омбудсмен корпоративтік қақтығыстар мен мүдделер қақтығыстары бөлігінде корпоративтік қақтығыстар мен мүдделер қақтығыстарын шешуге жауапты тұлғалармен корпоративтік қақтығыстар мен Холдинг мүдделерінің қақтығыстарын реттеу жөніндегі саясатқа сәйкес өз іс-әрекеттерін үйлестіреді. 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kk-KZ"/>
              </w:rPr>
            </w:pPr>
            <w:r w:rsidRPr="008C2674">
              <w:rPr>
                <w:color w:val="000000" w:themeColor="text1"/>
                <w:lang w:val="kk-KZ"/>
              </w:rPr>
              <w:t>Корпоративтік даулар туындаған жағдайда қатысушылар Жалғыз акционердің құқықтарын да, Холдингтің іскерлік беделін де тиімді қорғауды қамтамасыз ету мақсатында келіссөздер жолымен о</w:t>
            </w:r>
            <w:r>
              <w:rPr>
                <w:color w:val="000000" w:themeColor="text1"/>
                <w:lang w:val="kk-KZ"/>
              </w:rPr>
              <w:t>ларды шешу жолдарын іздестіреді</w:t>
            </w:r>
            <w:r w:rsidRPr="001A025B">
              <w:rPr>
                <w:color w:val="000000" w:themeColor="text1"/>
                <w:lang w:val="kk-KZ"/>
              </w:rPr>
              <w:t>.</w:t>
            </w:r>
          </w:p>
          <w:p w:rsidR="003E2A0E" w:rsidRPr="008C2674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8C2674">
              <w:rPr>
                <w:color w:val="000000"/>
                <w:lang w:val="kk-KZ"/>
              </w:rPr>
              <w:t>Мүдделер қақтығысын болдырмаудың негізгі қағидаттары, оларды анықтау, бағалау және шешу тәсілдері Холдингтің іскерлік этика кодексінде бекітіледі.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8C2674">
              <w:rPr>
                <w:color w:val="000000"/>
                <w:lang w:val="kk-KZ"/>
              </w:rPr>
              <w:t xml:space="preserve">2018 жылы </w:t>
            </w:r>
            <w:r>
              <w:rPr>
                <w:color w:val="000000"/>
                <w:lang w:val="kk-KZ"/>
              </w:rPr>
              <w:t>Х</w:t>
            </w:r>
            <w:r w:rsidRPr="008C2674">
              <w:rPr>
                <w:color w:val="000000"/>
                <w:lang w:val="kk-KZ"/>
              </w:rPr>
              <w:t>олдингте корпоративтік қақтығыстар мен мүдделер қақтығысы ту</w:t>
            </w:r>
            <w:r>
              <w:rPr>
                <w:color w:val="000000"/>
                <w:lang w:val="kk-KZ"/>
              </w:rPr>
              <w:t>ындаған жағдайлар тіркелген жоқ</w:t>
            </w:r>
            <w:r w:rsidRPr="001A025B">
              <w:rPr>
                <w:color w:val="000000"/>
                <w:lang w:val="kk-KZ"/>
              </w:rPr>
              <w:t xml:space="preserve">. </w:t>
            </w:r>
          </w:p>
        </w:tc>
      </w:tr>
      <w:tr w:rsidR="003E2A0E" w:rsidRPr="00B117DA" w:rsidTr="006C1564">
        <w:tc>
          <w:tcPr>
            <w:tcW w:w="846" w:type="dxa"/>
          </w:tcPr>
          <w:p w:rsidR="003E2A0E" w:rsidRPr="001A025B" w:rsidRDefault="003E2A0E" w:rsidP="006C1564">
            <w:pPr>
              <w:jc w:val="center"/>
              <w:rPr>
                <w:lang w:val="kk-KZ"/>
              </w:rPr>
            </w:pPr>
            <w:r w:rsidRPr="001A025B">
              <w:rPr>
                <w:lang w:val="kk-KZ"/>
              </w:rPr>
              <w:t>7.</w:t>
            </w:r>
          </w:p>
        </w:tc>
        <w:tc>
          <w:tcPr>
            <w:tcW w:w="4394" w:type="dxa"/>
          </w:tcPr>
          <w:p w:rsidR="003E2A0E" w:rsidRDefault="003E2A0E" w:rsidP="006C1564">
            <w:pPr>
              <w:tabs>
                <w:tab w:val="left" w:pos="1418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0B6599">
              <w:rPr>
                <w:lang w:val="kk-KZ"/>
              </w:rPr>
              <w:t>Бәйтерек</w:t>
            </w:r>
            <w:r>
              <w:rPr>
                <w:lang w:val="kk-KZ"/>
              </w:rPr>
              <w:t>»</w:t>
            </w:r>
            <w:r w:rsidRPr="000B6599">
              <w:rPr>
                <w:lang w:val="kk-KZ"/>
              </w:rPr>
              <w:t xml:space="preserve"> ҰБХ</w:t>
            </w:r>
            <w:r>
              <w:rPr>
                <w:lang w:val="kk-KZ"/>
              </w:rPr>
              <w:t>»</w:t>
            </w:r>
            <w:r w:rsidRPr="000B659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0B6599">
              <w:rPr>
                <w:lang w:val="kk-KZ"/>
              </w:rPr>
              <w:t>АҚ қызметі туралы ақпаратты ашудың ашықтығы мен объективтілі</w:t>
            </w:r>
            <w:r>
              <w:rPr>
                <w:lang w:val="kk-KZ"/>
              </w:rPr>
              <w:t>к қағидаты</w:t>
            </w:r>
          </w:p>
          <w:p w:rsidR="003E2A0E" w:rsidRPr="001A025B" w:rsidRDefault="003E2A0E" w:rsidP="006C1564">
            <w:pPr>
              <w:tabs>
                <w:tab w:val="left" w:pos="1418"/>
              </w:tabs>
              <w:jc w:val="both"/>
              <w:rPr>
                <w:lang w:val="kk-KZ"/>
              </w:rPr>
            </w:pPr>
          </w:p>
        </w:tc>
        <w:tc>
          <w:tcPr>
            <w:tcW w:w="2126" w:type="dxa"/>
          </w:tcPr>
          <w:p w:rsidR="003E2A0E" w:rsidRPr="001A025B" w:rsidRDefault="003E2A0E" w:rsidP="006C156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Сақталады</w:t>
            </w:r>
          </w:p>
        </w:tc>
        <w:tc>
          <w:tcPr>
            <w:tcW w:w="7655" w:type="dxa"/>
          </w:tcPr>
          <w:p w:rsidR="003E2A0E" w:rsidRPr="000B6599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0B6599">
              <w:rPr>
                <w:color w:val="000000"/>
                <w:lang w:val="kk-KZ"/>
              </w:rPr>
              <w:t xml:space="preserve">Холдинг өз қызметінде ашықтықтың жоғары стандарттарын ұстанады және Холдинг туралы ақпараттың қолжетімділігін, сапасын және жедел ашылуын жақсарту бойынша тұрақты жұмыс істейді. </w:t>
            </w:r>
          </w:p>
          <w:p w:rsidR="003E2A0E" w:rsidRPr="000B6599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0B6599">
              <w:rPr>
                <w:color w:val="000000"/>
                <w:lang w:val="kk-KZ"/>
              </w:rPr>
              <w:t>Мүдделі тараптарға ақпаратты уақ</w:t>
            </w:r>
            <w:r>
              <w:rPr>
                <w:color w:val="000000"/>
                <w:lang w:val="kk-KZ"/>
              </w:rPr>
              <w:t>тылы беру мақсатында Холдингте а</w:t>
            </w:r>
            <w:r w:rsidRPr="000B6599">
              <w:rPr>
                <w:color w:val="000000"/>
                <w:lang w:val="kk-KZ"/>
              </w:rPr>
              <w:t>қпаратты ашу қағидаттары мен тәсілдерін, сондай-ақ ақпаратты ашу мерзімдерін, т</w:t>
            </w:r>
            <w:r>
              <w:rPr>
                <w:color w:val="000000"/>
                <w:lang w:val="kk-KZ"/>
              </w:rPr>
              <w:t>әртібі мен нысанын айқындайтын А</w:t>
            </w:r>
            <w:r w:rsidRPr="000B6599">
              <w:rPr>
                <w:color w:val="000000"/>
                <w:lang w:val="kk-KZ"/>
              </w:rPr>
              <w:t xml:space="preserve">қпаратты ашу саясаты </w:t>
            </w:r>
            <w:r>
              <w:rPr>
                <w:color w:val="000000"/>
                <w:lang w:val="kk-KZ"/>
              </w:rPr>
              <w:t xml:space="preserve">қолданылады. </w:t>
            </w:r>
          </w:p>
          <w:p w:rsidR="003E2A0E" w:rsidRPr="00916CE5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916CE5">
              <w:rPr>
                <w:color w:val="000000"/>
                <w:lang w:val="kk-KZ"/>
              </w:rPr>
              <w:t xml:space="preserve">Холдинг қызметінің ақпараттық қауіпсіздігін қамтамасыз ету </w:t>
            </w:r>
            <w:r>
              <w:rPr>
                <w:color w:val="000000"/>
                <w:lang w:val="kk-KZ"/>
              </w:rPr>
              <w:t>А</w:t>
            </w:r>
            <w:r w:rsidRPr="00916CE5">
              <w:rPr>
                <w:color w:val="000000"/>
                <w:lang w:val="kk-KZ"/>
              </w:rPr>
              <w:t xml:space="preserve">қпараттық қауіпсіздікті қамтамасыз ету </w:t>
            </w:r>
            <w:r>
              <w:rPr>
                <w:color w:val="000000"/>
                <w:lang w:val="kk-KZ"/>
              </w:rPr>
              <w:t>бойынша</w:t>
            </w:r>
            <w:r w:rsidRPr="00916CE5">
              <w:rPr>
                <w:color w:val="000000"/>
                <w:lang w:val="kk-KZ"/>
              </w:rPr>
              <w:t xml:space="preserve"> саясатпен регламенттелген.</w:t>
            </w:r>
          </w:p>
          <w:p w:rsidR="003E2A0E" w:rsidRPr="001A025B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kk-KZ"/>
              </w:rPr>
            </w:pPr>
            <w:r w:rsidRPr="00916CE5">
              <w:rPr>
                <w:color w:val="000000"/>
                <w:lang w:val="kk-KZ"/>
              </w:rPr>
              <w:t xml:space="preserve"> Холдинг жыл сайынғы негізде Холдингтің жылдық есебін дайындайды, ол директорлар кеңесінің қарауына және бекітуіне шығарылады. Холдингтің 2017 жылғы жылдық есебі Директорлар кеңесінің 2018 жылғы 19 шілдедегі шешім</w:t>
            </w:r>
            <w:r>
              <w:rPr>
                <w:color w:val="000000"/>
                <w:lang w:val="kk-KZ"/>
              </w:rPr>
              <w:t>імен бекітілді (№07/18 хаттама)</w:t>
            </w:r>
            <w:r w:rsidRPr="001A025B">
              <w:rPr>
                <w:color w:val="000000"/>
                <w:lang w:val="kk-KZ"/>
              </w:rPr>
              <w:t xml:space="preserve">. </w:t>
            </w:r>
          </w:p>
          <w:p w:rsidR="003E2A0E" w:rsidRPr="00916CE5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kk-KZ"/>
              </w:rPr>
            </w:pPr>
            <w:r w:rsidRPr="00916CE5">
              <w:rPr>
                <w:color w:val="000000" w:themeColor="text1"/>
                <w:lang w:val="kk-KZ"/>
              </w:rPr>
              <w:t>Холдинг туралы ақпарат жақсы құрылымдалған, пайдалану үшін ыңғайлы навигациясы бар және мүдделі тұлғаларға қажетті ақпаратты қамтитын Холдингтің интернет-ресурсында ашылады. Бұл ретте ақпарат интернет-ресурстың жекелеген тақырыптық бөлімдерінде орналастырылады және үнемі өзекті</w:t>
            </w:r>
            <w:r>
              <w:rPr>
                <w:color w:val="000000" w:themeColor="text1"/>
                <w:lang w:val="kk-KZ"/>
              </w:rPr>
              <w:t xml:space="preserve"> етіліп тұрады.</w:t>
            </w:r>
            <w:r w:rsidRPr="00916CE5">
              <w:rPr>
                <w:color w:val="000000" w:themeColor="text1"/>
                <w:lang w:val="kk-KZ"/>
              </w:rPr>
              <w:t xml:space="preserve">  </w:t>
            </w:r>
          </w:p>
          <w:p w:rsidR="003E2A0E" w:rsidRPr="00916CE5" w:rsidRDefault="003E2A0E" w:rsidP="006C156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kk-KZ"/>
              </w:rPr>
            </w:pPr>
            <w:r w:rsidRPr="00916CE5">
              <w:rPr>
                <w:color w:val="000000" w:themeColor="text1"/>
                <w:lang w:val="kk-KZ"/>
              </w:rPr>
              <w:t>Қазақстан Республикасы заңнамасының және Холдингтің ішкі құжаттарының талаптарына сәйкес, Холдинг туралы ақпарат қаржылық есептілік депозитарийінің және қор биржасының интернет-ресурстарында уақ</w:t>
            </w:r>
            <w:r>
              <w:rPr>
                <w:color w:val="000000" w:themeColor="text1"/>
                <w:lang w:val="kk-KZ"/>
              </w:rPr>
              <w:t>тылы және толық көлемде ашылады</w:t>
            </w:r>
            <w:r w:rsidRPr="001A025B">
              <w:rPr>
                <w:color w:val="000000"/>
                <w:lang w:val="kk-KZ"/>
              </w:rPr>
              <w:t xml:space="preserve">. </w:t>
            </w:r>
          </w:p>
        </w:tc>
      </w:tr>
    </w:tbl>
    <w:p w:rsidR="003E2A0E" w:rsidRPr="00B117DA" w:rsidRDefault="003E2A0E" w:rsidP="003E2A0E">
      <w:pPr>
        <w:pStyle w:val="a6"/>
        <w:rPr>
          <w:lang w:val="kk-KZ"/>
        </w:rPr>
      </w:pPr>
    </w:p>
    <w:p w:rsidR="003E2A0E" w:rsidRPr="00B117DA" w:rsidRDefault="003E2A0E" w:rsidP="003E2A0E">
      <w:pPr>
        <w:pStyle w:val="a6"/>
        <w:rPr>
          <w:lang w:val="kk-KZ"/>
        </w:rPr>
      </w:pPr>
    </w:p>
    <w:p w:rsidR="003E2A0E" w:rsidRPr="00B117DA" w:rsidRDefault="003E2A0E" w:rsidP="003E2A0E">
      <w:pPr>
        <w:pStyle w:val="a6"/>
        <w:rPr>
          <w:lang w:val="kk-KZ"/>
        </w:rPr>
      </w:pPr>
    </w:p>
    <w:p w:rsidR="003E2A0E" w:rsidRPr="00B117DA" w:rsidRDefault="003E2A0E" w:rsidP="003E2A0E">
      <w:pPr>
        <w:pStyle w:val="a6"/>
        <w:rPr>
          <w:lang w:val="kk-KZ"/>
        </w:rPr>
      </w:pPr>
    </w:p>
    <w:p w:rsidR="003E2A0E" w:rsidRPr="00B117DA" w:rsidRDefault="003E2A0E" w:rsidP="003E2A0E">
      <w:pPr>
        <w:pStyle w:val="a6"/>
        <w:rPr>
          <w:lang w:val="kk-KZ"/>
        </w:rPr>
      </w:pPr>
    </w:p>
    <w:p w:rsidR="003E2A0E" w:rsidRPr="00B117DA" w:rsidRDefault="003E2A0E" w:rsidP="003E2A0E">
      <w:pPr>
        <w:pStyle w:val="a6"/>
        <w:rPr>
          <w:lang w:val="kk-KZ"/>
        </w:rPr>
      </w:pPr>
    </w:p>
    <w:bookmarkEnd w:id="0"/>
    <w:p w:rsidR="003E2A0E" w:rsidRPr="00B117DA" w:rsidRDefault="003E2A0E" w:rsidP="003E2A0E">
      <w:pPr>
        <w:pStyle w:val="a6"/>
        <w:rPr>
          <w:lang w:val="kk-KZ"/>
        </w:rPr>
      </w:pPr>
    </w:p>
    <w:sectPr w:rsidR="003E2A0E" w:rsidRPr="00B117DA" w:rsidSect="00534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1664"/>
    <w:multiLevelType w:val="hybridMultilevel"/>
    <w:tmpl w:val="930228F0"/>
    <w:lvl w:ilvl="0" w:tplc="CCC0642C">
      <w:start w:val="1"/>
      <w:numFmt w:val="decimal"/>
      <w:lvlText w:val="6.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1772"/>
    <w:multiLevelType w:val="hybridMultilevel"/>
    <w:tmpl w:val="930228F0"/>
    <w:lvl w:ilvl="0" w:tplc="CCC0642C">
      <w:start w:val="1"/>
      <w:numFmt w:val="decimal"/>
      <w:lvlText w:val="6.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C8"/>
    <w:rsid w:val="001C657B"/>
    <w:rsid w:val="003E2A0E"/>
    <w:rsid w:val="005345C8"/>
    <w:rsid w:val="005B3A75"/>
    <w:rsid w:val="008912A1"/>
    <w:rsid w:val="00A57713"/>
    <w:rsid w:val="00B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5926B-9FD2-47A1-A356-A434FF38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5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345C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5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57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E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B8A6-2F43-466D-8A9D-496A57E8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Кожемжарова</dc:creator>
  <cp:keywords/>
  <dc:description/>
  <cp:lastModifiedBy>Павел Павел</cp:lastModifiedBy>
  <cp:revision>2</cp:revision>
  <cp:lastPrinted>2020-01-08T11:47:00Z</cp:lastPrinted>
  <dcterms:created xsi:type="dcterms:W3CDTF">2020-01-10T04:25:00Z</dcterms:created>
  <dcterms:modified xsi:type="dcterms:W3CDTF">2020-01-10T04:25:00Z</dcterms:modified>
</cp:coreProperties>
</file>